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60E73">
      <w:pPr>
        <w:spacing w:line="70" w:lineRule="exact"/>
      </w:pPr>
      <w:r>
        <w:rPr>
          <w:position w:val="-1"/>
        </w:rPr>
        <w:drawing>
          <wp:inline distT="0" distB="0" distL="0" distR="0">
            <wp:extent cx="43815" cy="444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432" cy="44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866CF">
      <w:pPr>
        <w:spacing w:line="245" w:lineRule="auto"/>
        <w:rPr>
          <w:rFonts w:ascii="Arial"/>
          <w:sz w:val="21"/>
        </w:rPr>
      </w:pPr>
    </w:p>
    <w:p w14:paraId="39950D6D">
      <w:pPr>
        <w:spacing w:line="245" w:lineRule="auto"/>
        <w:rPr>
          <w:rFonts w:ascii="Arial"/>
          <w:sz w:val="21"/>
        </w:rPr>
      </w:pPr>
    </w:p>
    <w:p w14:paraId="7390EB2B">
      <w:pPr>
        <w:spacing w:line="245" w:lineRule="auto"/>
        <w:rPr>
          <w:rFonts w:ascii="Arial"/>
          <w:sz w:val="21"/>
        </w:rPr>
      </w:pPr>
    </w:p>
    <w:p w14:paraId="18D0A62A">
      <w:pPr>
        <w:spacing w:line="245" w:lineRule="auto"/>
        <w:rPr>
          <w:rFonts w:ascii="Arial"/>
          <w:sz w:val="21"/>
        </w:rPr>
      </w:pPr>
    </w:p>
    <w:p w14:paraId="71D48476">
      <w:pPr>
        <w:spacing w:line="245" w:lineRule="auto"/>
        <w:rPr>
          <w:rFonts w:ascii="Arial"/>
          <w:sz w:val="21"/>
        </w:rPr>
      </w:pPr>
    </w:p>
    <w:p w14:paraId="4E163754">
      <w:pPr>
        <w:spacing w:line="245" w:lineRule="auto"/>
        <w:rPr>
          <w:rFonts w:ascii="Arial"/>
          <w:sz w:val="21"/>
        </w:rPr>
      </w:pPr>
    </w:p>
    <w:p w14:paraId="74642572">
      <w:pPr>
        <w:spacing w:line="246" w:lineRule="auto"/>
        <w:rPr>
          <w:rFonts w:ascii="Arial"/>
          <w:sz w:val="21"/>
        </w:rPr>
      </w:pPr>
    </w:p>
    <w:p w14:paraId="50430FE1">
      <w:pPr>
        <w:spacing w:line="246" w:lineRule="auto"/>
        <w:rPr>
          <w:rFonts w:ascii="Arial"/>
          <w:sz w:val="21"/>
        </w:rPr>
      </w:pPr>
    </w:p>
    <w:p w14:paraId="7E8B73E0">
      <w:pPr>
        <w:pStyle w:val="2"/>
        <w:spacing w:before="231" w:line="270" w:lineRule="auto"/>
        <w:ind w:left="680" w:right="236" w:firstLine="9"/>
        <w:outlineLvl w:val="0"/>
      </w:pPr>
      <w:r>
        <w:rPr>
          <w:b/>
          <w:bCs/>
          <w:spacing w:val="-36"/>
        </w:rPr>
        <w:t>南</w:t>
      </w:r>
      <w:r>
        <w:rPr>
          <w:spacing w:val="51"/>
        </w:rPr>
        <w:t xml:space="preserve"> </w:t>
      </w:r>
      <w:r>
        <w:rPr>
          <w:b/>
          <w:bCs/>
          <w:spacing w:val="-36"/>
        </w:rPr>
        <w:t>京</w:t>
      </w:r>
      <w:r>
        <w:rPr>
          <w:spacing w:val="53"/>
        </w:rPr>
        <w:t xml:space="preserve"> </w:t>
      </w:r>
      <w:r>
        <w:rPr>
          <w:b/>
          <w:bCs/>
          <w:spacing w:val="-36"/>
        </w:rPr>
        <w:t>市</w:t>
      </w:r>
      <w:r>
        <w:rPr>
          <w:spacing w:val="-36"/>
        </w:rPr>
        <w:t xml:space="preserve"> </w:t>
      </w:r>
      <w:r>
        <w:rPr>
          <w:b/>
          <w:bCs/>
          <w:spacing w:val="-36"/>
        </w:rPr>
        <w:t>科</w:t>
      </w:r>
      <w:r>
        <w:rPr>
          <w:spacing w:val="48"/>
        </w:rPr>
        <w:t xml:space="preserve"> </w:t>
      </w:r>
      <w:r>
        <w:rPr>
          <w:b/>
          <w:bCs/>
          <w:spacing w:val="-36"/>
        </w:rPr>
        <w:t>学</w:t>
      </w:r>
      <w:r>
        <w:rPr>
          <w:spacing w:val="37"/>
        </w:rPr>
        <w:t xml:space="preserve"> </w:t>
      </w:r>
      <w:r>
        <w:rPr>
          <w:b/>
          <w:bCs/>
          <w:spacing w:val="-36"/>
        </w:rPr>
        <w:t>技</w:t>
      </w:r>
      <w:r>
        <w:rPr>
          <w:spacing w:val="40"/>
        </w:rPr>
        <w:t xml:space="preserve"> </w:t>
      </w:r>
      <w:r>
        <w:rPr>
          <w:b/>
          <w:bCs/>
          <w:spacing w:val="-36"/>
        </w:rPr>
        <w:t>术</w:t>
      </w:r>
      <w:r>
        <w:rPr>
          <w:spacing w:val="43"/>
        </w:rPr>
        <w:t xml:space="preserve"> </w:t>
      </w:r>
      <w:r>
        <w:rPr>
          <w:b/>
          <w:bCs/>
          <w:spacing w:val="-36"/>
        </w:rPr>
        <w:t>局</w:t>
      </w:r>
      <w:r>
        <w:t xml:space="preserve"> </w:t>
      </w:r>
      <w:r>
        <w:rPr>
          <w:b/>
          <w:bCs/>
          <w:spacing w:val="-46"/>
        </w:rPr>
        <w:t>南</w:t>
      </w:r>
      <w:r>
        <w:rPr>
          <w:spacing w:val="45"/>
        </w:rPr>
        <w:t xml:space="preserve">  </w:t>
      </w:r>
      <w:r>
        <w:rPr>
          <w:b/>
          <w:bCs/>
          <w:spacing w:val="-46"/>
        </w:rPr>
        <w:t>京</w:t>
      </w:r>
      <w:r>
        <w:rPr>
          <w:spacing w:val="52"/>
        </w:rPr>
        <w:t xml:space="preserve">  </w:t>
      </w:r>
      <w:r>
        <w:rPr>
          <w:b/>
          <w:bCs/>
          <w:spacing w:val="-46"/>
        </w:rPr>
        <w:t>市</w:t>
      </w:r>
      <w:r>
        <w:rPr>
          <w:spacing w:val="68"/>
        </w:rPr>
        <w:t xml:space="preserve">  </w:t>
      </w:r>
      <w:r>
        <w:rPr>
          <w:b/>
          <w:bCs/>
          <w:spacing w:val="-46"/>
        </w:rPr>
        <w:t>财</w:t>
      </w:r>
      <w:r>
        <w:rPr>
          <w:spacing w:val="72"/>
        </w:rPr>
        <w:t xml:space="preserve">  </w:t>
      </w:r>
      <w:r>
        <w:rPr>
          <w:b/>
          <w:bCs/>
          <w:spacing w:val="-46"/>
        </w:rPr>
        <w:t>政</w:t>
      </w:r>
      <w:r>
        <w:rPr>
          <w:spacing w:val="53"/>
        </w:rPr>
        <w:t xml:space="preserve">  </w:t>
      </w:r>
      <w:r>
        <w:rPr>
          <w:b/>
          <w:bCs/>
          <w:spacing w:val="-46"/>
        </w:rPr>
        <w:t>局</w:t>
      </w:r>
    </w:p>
    <w:p w14:paraId="58EDC616">
      <w:pPr>
        <w:spacing w:line="475" w:lineRule="auto"/>
        <w:rPr>
          <w:rFonts w:ascii="Arial"/>
          <w:sz w:val="21"/>
        </w:rPr>
      </w:pPr>
    </w:p>
    <w:p w14:paraId="6B8C10EF">
      <w:pPr>
        <w:spacing w:line="30" w:lineRule="exact"/>
        <w:ind w:firstLine="570"/>
      </w:pPr>
      <w:r>
        <w:drawing>
          <wp:inline distT="0" distB="0" distL="0" distR="0">
            <wp:extent cx="5327015" cy="1841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27634" cy="19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E7C7F">
      <w:pPr>
        <w:spacing w:before="210" w:line="222" w:lineRule="auto"/>
        <w:ind w:left="59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1"/>
          <w:sz w:val="30"/>
          <w:szCs w:val="30"/>
        </w:rPr>
        <w:t>宁科通〔2025〕12号</w:t>
      </w:r>
    </w:p>
    <w:p w14:paraId="72375219">
      <w:pPr>
        <w:spacing w:line="246" w:lineRule="auto"/>
        <w:rPr>
          <w:rFonts w:ascii="Arial"/>
          <w:sz w:val="21"/>
        </w:rPr>
      </w:pPr>
    </w:p>
    <w:p w14:paraId="25C2A0A2">
      <w:pPr>
        <w:spacing w:line="246" w:lineRule="auto"/>
        <w:rPr>
          <w:rFonts w:ascii="Arial"/>
          <w:sz w:val="21"/>
        </w:rPr>
      </w:pPr>
    </w:p>
    <w:p w14:paraId="02CB1E6C">
      <w:pPr>
        <w:pStyle w:val="2"/>
        <w:spacing w:before="143" w:line="222" w:lineRule="auto"/>
        <w:ind w:left="3495" w:right="507" w:hanging="2540"/>
        <w:rPr>
          <w:sz w:val="44"/>
          <w:szCs w:val="44"/>
        </w:rPr>
      </w:pPr>
      <w:r>
        <w:rPr>
          <w:b/>
          <w:bCs/>
          <w:spacing w:val="-43"/>
          <w:sz w:val="44"/>
          <w:szCs w:val="44"/>
        </w:rPr>
        <w:t>关于印发《南京市“宁科贷”产品升级实施</w:t>
      </w:r>
      <w:r>
        <w:rPr>
          <w:spacing w:val="5"/>
          <w:sz w:val="44"/>
          <w:szCs w:val="44"/>
        </w:rPr>
        <w:t xml:space="preserve"> </w:t>
      </w:r>
      <w:r>
        <w:rPr>
          <w:b/>
          <w:bCs/>
          <w:spacing w:val="-15"/>
          <w:sz w:val="44"/>
          <w:szCs w:val="44"/>
        </w:rPr>
        <w:t>方案》的通知</w:t>
      </w:r>
    </w:p>
    <w:p w14:paraId="17AB50E5">
      <w:pPr>
        <w:spacing w:line="283" w:lineRule="auto"/>
        <w:rPr>
          <w:rFonts w:ascii="Arial"/>
          <w:sz w:val="21"/>
        </w:rPr>
      </w:pPr>
    </w:p>
    <w:p w14:paraId="28218EAF">
      <w:pPr>
        <w:spacing w:line="284" w:lineRule="auto"/>
        <w:rPr>
          <w:rFonts w:ascii="Arial"/>
          <w:sz w:val="21"/>
        </w:rPr>
      </w:pPr>
    </w:p>
    <w:p w14:paraId="283433F2">
      <w:pPr>
        <w:spacing w:before="98" w:line="220" w:lineRule="auto"/>
        <w:ind w:left="33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“宁科贷”工作联席会议各成员单位，相关金融机构：</w:t>
      </w:r>
    </w:p>
    <w:p w14:paraId="42723BC4">
      <w:pPr>
        <w:spacing w:before="196" w:line="325" w:lineRule="auto"/>
        <w:ind w:left="480" w:firstLine="61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5"/>
          <w:sz w:val="30"/>
          <w:szCs w:val="30"/>
        </w:rPr>
        <w:t>为进一步强化科技金融全面赋能，引导金融机构为我市科技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5"/>
          <w:sz w:val="30"/>
          <w:szCs w:val="30"/>
        </w:rPr>
        <w:t>企业提供低成本、高效率的信用贷款支持，经</w:t>
      </w:r>
      <w:r>
        <w:rPr>
          <w:rFonts w:ascii="仿宋" w:hAnsi="仿宋" w:eastAsia="仿宋" w:cs="仿宋"/>
          <w:spacing w:val="4"/>
          <w:sz w:val="30"/>
          <w:szCs w:val="30"/>
        </w:rPr>
        <w:t>研究，制定《南京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市“宁科贷”产品升级实施方案》,现印发给你们，请遵照执行。</w:t>
      </w:r>
    </w:p>
    <w:p w14:paraId="6A2833B7">
      <w:pPr>
        <w:spacing w:line="445" w:lineRule="auto"/>
        <w:rPr>
          <w:rFonts w:ascii="Arial"/>
          <w:sz w:val="21"/>
        </w:rPr>
      </w:pPr>
    </w:p>
    <w:p w14:paraId="5A3C34A1">
      <w:pPr>
        <w:spacing w:before="97" w:line="222" w:lineRule="auto"/>
        <w:ind w:left="109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0"/>
          <w:sz w:val="30"/>
          <w:szCs w:val="30"/>
        </w:rPr>
        <w:t>附件：南京市“宁科贷”产品升级实施方案</w:t>
      </w:r>
    </w:p>
    <w:p w14:paraId="3C09F07C">
      <w:pPr>
        <w:spacing w:line="257" w:lineRule="auto"/>
        <w:rPr>
          <w:rFonts w:ascii="Arial"/>
          <w:sz w:val="21"/>
        </w:rPr>
      </w:pPr>
      <w:bookmarkStart w:id="0" w:name="_GoBack"/>
      <w:bookmarkEnd w:id="0"/>
    </w:p>
    <w:p w14:paraId="642254EB">
      <w:pPr>
        <w:spacing w:line="257" w:lineRule="auto"/>
        <w:rPr>
          <w:rFonts w:ascii="Arial"/>
          <w:sz w:val="21"/>
        </w:rPr>
      </w:pPr>
    </w:p>
    <w:p w14:paraId="47FD9F22">
      <w:pPr>
        <w:spacing w:line="257" w:lineRule="auto"/>
        <w:rPr>
          <w:rFonts w:ascii="Arial"/>
          <w:sz w:val="21"/>
        </w:rPr>
      </w:pPr>
    </w:p>
    <w:p w14:paraId="6624C588">
      <w:pPr>
        <w:spacing w:line="257" w:lineRule="auto"/>
        <w:rPr>
          <w:rFonts w:ascii="Arial"/>
          <w:sz w:val="21"/>
        </w:rPr>
      </w:pPr>
    </w:p>
    <w:p w14:paraId="6E8B5374">
      <w:pPr>
        <w:spacing w:line="258" w:lineRule="auto"/>
        <w:rPr>
          <w:rFonts w:ascii="Arial"/>
          <w:sz w:val="21"/>
        </w:rPr>
      </w:pPr>
    </w:p>
    <w:p w14:paraId="047FA329">
      <w:pPr>
        <w:spacing w:before="95" w:line="222" w:lineRule="auto"/>
        <w:ind w:left="6780"/>
        <w:rPr>
          <w:rFonts w:ascii="仿宋" w:hAnsi="仿宋" w:eastAsia="仿宋" w:cs="仿宋"/>
          <w:sz w:val="29"/>
          <w:szCs w:val="29"/>
        </w:rPr>
      </w:pPr>
      <w:r>
        <w:pict>
          <v:shape id="_x0000_s1026" o:spid="_x0000_s1026" o:spt="202" type="#_x0000_t202" style="position:absolute;left:0pt;margin-left:51.5pt;margin-top:1.7pt;height:19.5pt;width:125.4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CC94A85">
                  <w:pPr>
                    <w:spacing w:before="20" w:line="222" w:lineRule="auto"/>
                    <w:ind w:left="20"/>
                    <w:rPr>
                      <w:rFonts w:ascii="仿宋" w:hAnsi="仿宋" w:eastAsia="仿宋" w:cs="仿宋"/>
                      <w:sz w:val="29"/>
                      <w:szCs w:val="29"/>
                    </w:rPr>
                  </w:pPr>
                  <w:r>
                    <w:rPr>
                      <w:rFonts w:ascii="仿宋" w:hAnsi="仿宋" w:eastAsia="仿宋" w:cs="仿宋"/>
                      <w:spacing w:val="18"/>
                      <w:sz w:val="29"/>
                      <w:szCs w:val="29"/>
                    </w:rPr>
                    <w:t>南京市科学技术局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pacing w:val="16"/>
          <w:sz w:val="29"/>
          <w:szCs w:val="29"/>
        </w:rPr>
        <w:t>南京市财政局</w:t>
      </w:r>
    </w:p>
    <w:p w14:paraId="77B97AB7">
      <w:pPr>
        <w:spacing w:line="301" w:lineRule="auto"/>
        <w:rPr>
          <w:rFonts w:ascii="Arial"/>
          <w:sz w:val="21"/>
        </w:rPr>
      </w:pPr>
    </w:p>
    <w:p w14:paraId="16EB00DC">
      <w:pPr>
        <w:spacing w:line="302" w:lineRule="auto"/>
        <w:rPr>
          <w:rFonts w:ascii="Arial"/>
          <w:sz w:val="21"/>
        </w:rPr>
      </w:pPr>
    </w:p>
    <w:p w14:paraId="27C34B4C">
      <w:pPr>
        <w:spacing w:before="95" w:line="222" w:lineRule="auto"/>
        <w:ind w:left="659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0"/>
          <w:w w:val="104"/>
          <w:sz w:val="29"/>
          <w:szCs w:val="29"/>
        </w:rPr>
        <w:t>2025年3月24日</w:t>
      </w:r>
    </w:p>
    <w:p w14:paraId="1E7A62BA">
      <w:pPr>
        <w:spacing w:line="222" w:lineRule="auto"/>
        <w:rPr>
          <w:rFonts w:ascii="仿宋" w:hAnsi="仿宋" w:eastAsia="仿宋" w:cs="仿宋"/>
          <w:sz w:val="29"/>
          <w:szCs w:val="29"/>
        </w:rPr>
        <w:sectPr>
          <w:footerReference r:id="rId5" w:type="default"/>
          <w:pgSz w:w="11900" w:h="16830"/>
          <w:pgMar w:top="699" w:right="1559" w:bottom="1469" w:left="1239" w:header="0" w:footer="1090" w:gutter="0"/>
          <w:cols w:space="720" w:num="1"/>
        </w:sectPr>
      </w:pPr>
    </w:p>
    <w:p w14:paraId="05AA2683">
      <w:pPr>
        <w:spacing w:line="262" w:lineRule="auto"/>
        <w:rPr>
          <w:rFonts w:ascii="Arial"/>
          <w:sz w:val="21"/>
        </w:rPr>
      </w:pPr>
    </w:p>
    <w:p w14:paraId="44B41B0F">
      <w:pPr>
        <w:spacing w:line="262" w:lineRule="auto"/>
        <w:rPr>
          <w:rFonts w:ascii="Arial"/>
          <w:sz w:val="21"/>
        </w:rPr>
      </w:pPr>
    </w:p>
    <w:p w14:paraId="45A8FABB">
      <w:pPr>
        <w:spacing w:line="262" w:lineRule="auto"/>
        <w:rPr>
          <w:rFonts w:ascii="Arial"/>
          <w:sz w:val="21"/>
        </w:rPr>
      </w:pPr>
    </w:p>
    <w:p w14:paraId="3D7B63A5">
      <w:pPr>
        <w:spacing w:line="263" w:lineRule="auto"/>
        <w:rPr>
          <w:rFonts w:ascii="Arial"/>
          <w:sz w:val="21"/>
        </w:rPr>
      </w:pPr>
    </w:p>
    <w:p w14:paraId="146A9E74">
      <w:pPr>
        <w:spacing w:line="263" w:lineRule="auto"/>
        <w:rPr>
          <w:rFonts w:ascii="Arial"/>
          <w:sz w:val="21"/>
        </w:rPr>
      </w:pPr>
    </w:p>
    <w:p w14:paraId="7CE62F6A">
      <w:pPr>
        <w:spacing w:line="263" w:lineRule="auto"/>
        <w:rPr>
          <w:rFonts w:ascii="Arial"/>
          <w:sz w:val="21"/>
        </w:rPr>
      </w:pPr>
    </w:p>
    <w:p w14:paraId="3CC19E82">
      <w:pPr>
        <w:spacing w:line="263" w:lineRule="auto"/>
        <w:rPr>
          <w:rFonts w:ascii="Arial"/>
          <w:sz w:val="21"/>
        </w:rPr>
      </w:pPr>
    </w:p>
    <w:p w14:paraId="5401A83F">
      <w:pPr>
        <w:spacing w:line="263" w:lineRule="auto"/>
        <w:rPr>
          <w:rFonts w:ascii="Arial"/>
          <w:sz w:val="21"/>
        </w:rPr>
      </w:pPr>
    </w:p>
    <w:p w14:paraId="48A213F7">
      <w:pPr>
        <w:spacing w:before="98" w:line="224" w:lineRule="auto"/>
        <w:ind w:left="161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5"/>
          <w:sz w:val="30"/>
          <w:szCs w:val="30"/>
        </w:rPr>
        <w:t>附件</w:t>
      </w:r>
    </w:p>
    <w:p w14:paraId="5F552F6C">
      <w:pPr>
        <w:spacing w:line="251" w:lineRule="auto"/>
        <w:rPr>
          <w:rFonts w:ascii="Arial"/>
          <w:sz w:val="21"/>
        </w:rPr>
      </w:pPr>
    </w:p>
    <w:p w14:paraId="63433097">
      <w:pPr>
        <w:spacing w:line="251" w:lineRule="auto"/>
        <w:rPr>
          <w:rFonts w:ascii="Arial"/>
          <w:sz w:val="21"/>
        </w:rPr>
      </w:pPr>
    </w:p>
    <w:p w14:paraId="5D0874E2">
      <w:pPr>
        <w:pStyle w:val="2"/>
        <w:spacing w:before="137" w:line="219" w:lineRule="auto"/>
        <w:ind w:left="2555"/>
        <w:rPr>
          <w:sz w:val="42"/>
          <w:szCs w:val="42"/>
        </w:rPr>
      </w:pPr>
      <w:r>
        <w:rPr>
          <w:b/>
          <w:bCs/>
          <w:spacing w:val="-2"/>
          <w:sz w:val="42"/>
          <w:szCs w:val="42"/>
        </w:rPr>
        <w:t>南京市“宁科贷”产品升级实施方案</w:t>
      </w:r>
    </w:p>
    <w:p w14:paraId="3DD4B0AA">
      <w:pPr>
        <w:spacing w:line="286" w:lineRule="auto"/>
        <w:rPr>
          <w:rFonts w:ascii="Arial"/>
          <w:sz w:val="21"/>
        </w:rPr>
      </w:pPr>
    </w:p>
    <w:p w14:paraId="4136BEAB">
      <w:pPr>
        <w:spacing w:line="286" w:lineRule="auto"/>
        <w:rPr>
          <w:rFonts w:ascii="Arial"/>
          <w:sz w:val="21"/>
        </w:rPr>
      </w:pPr>
    </w:p>
    <w:p w14:paraId="77B1E69E">
      <w:pPr>
        <w:spacing w:before="98" w:line="332" w:lineRule="auto"/>
        <w:ind w:left="1609" w:right="8" w:firstLine="59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5"/>
          <w:sz w:val="30"/>
          <w:szCs w:val="30"/>
        </w:rPr>
        <w:t>为贯彻落实党的二十大和二十届二中、三中全会精神，认真</w:t>
      </w:r>
      <w:r>
        <w:rPr>
          <w:rFonts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5"/>
          <w:sz w:val="30"/>
          <w:szCs w:val="30"/>
        </w:rPr>
        <w:t>落实中央金融工作会议要求，为建设具有全球影响力的产业科技</w:t>
      </w:r>
      <w:r>
        <w:rPr>
          <w:rFonts w:ascii="仿宋" w:hAnsi="仿宋" w:eastAsia="仿宋" w:cs="仿宋"/>
          <w:spacing w:val="1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5"/>
          <w:sz w:val="30"/>
          <w:szCs w:val="30"/>
        </w:rPr>
        <w:t>创新中心主承载区提供科技金融支撑，根据财政部等四部委《关</w:t>
      </w:r>
      <w:r>
        <w:rPr>
          <w:rFonts w:ascii="仿宋" w:hAnsi="仿宋" w:eastAsia="仿宋" w:cs="仿宋"/>
          <w:spacing w:val="1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"/>
          <w:sz w:val="30"/>
          <w:szCs w:val="30"/>
        </w:rPr>
        <w:t>于实施支持科技创新专项担保计划的通知》财金〔2024〕60号),</w:t>
      </w:r>
      <w:r>
        <w:rPr>
          <w:rFonts w:ascii="仿宋" w:hAnsi="仿宋" w:eastAsia="仿宋" w:cs="仿宋"/>
          <w:spacing w:val="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3"/>
          <w:sz w:val="30"/>
          <w:szCs w:val="30"/>
        </w:rPr>
        <w:t>结合我市实际，经研究，对科技创新贷款(以下简称“宁科贷”)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3"/>
          <w:sz w:val="30"/>
          <w:szCs w:val="30"/>
        </w:rPr>
        <w:t>进行升级，更好服务科技企业高质量发展。</w:t>
      </w:r>
    </w:p>
    <w:p w14:paraId="0EB348FC">
      <w:pPr>
        <w:spacing w:line="222" w:lineRule="auto"/>
        <w:ind w:left="2214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"/>
          <w:sz w:val="30"/>
          <w:szCs w:val="30"/>
        </w:rPr>
        <w:t>一、总体要求</w:t>
      </w:r>
    </w:p>
    <w:p w14:paraId="63AB2FF4">
      <w:pPr>
        <w:spacing w:before="173" w:line="335" w:lineRule="auto"/>
        <w:ind w:left="1609" w:firstLine="599"/>
        <w:jc w:val="both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8"/>
          <w:sz w:val="30"/>
          <w:szCs w:val="30"/>
        </w:rPr>
        <w:t>聚焦我市“2+6+6”创新型产业集群培育和科技企业需求，</w:t>
      </w:r>
      <w:r>
        <w:rPr>
          <w:rFonts w:ascii="仿宋" w:hAnsi="仿宋" w:eastAsia="仿宋" w:cs="仿宋"/>
          <w:spacing w:val="1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5"/>
          <w:sz w:val="30"/>
          <w:szCs w:val="30"/>
        </w:rPr>
        <w:t>升级“宁创贷”下原“宁科贷”政策产品，更广拓展政策性信贷</w:t>
      </w:r>
      <w:r>
        <w:rPr>
          <w:rFonts w:ascii="仿宋" w:hAnsi="仿宋" w:eastAsia="仿宋" w:cs="仿宋"/>
          <w:spacing w:val="1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5"/>
          <w:sz w:val="30"/>
          <w:szCs w:val="30"/>
        </w:rPr>
        <w:t>产品的适用范围，更好发挥市场化风险分担机制作用，更多引导</w:t>
      </w:r>
      <w:r>
        <w:rPr>
          <w:rFonts w:ascii="仿宋" w:hAnsi="仿宋" w:eastAsia="仿宋" w:cs="仿宋"/>
          <w:spacing w:val="1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金融机构为科技企业提供贷款支持，更加降低</w:t>
      </w:r>
      <w:r>
        <w:rPr>
          <w:rFonts w:ascii="仿宋" w:hAnsi="仿宋" w:eastAsia="仿宋" w:cs="仿宋"/>
          <w:spacing w:val="5"/>
          <w:sz w:val="30"/>
          <w:szCs w:val="30"/>
        </w:rPr>
        <w:t>科技企业信贷融资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3"/>
          <w:sz w:val="25"/>
          <w:szCs w:val="25"/>
        </w:rPr>
        <w:t>成</w:t>
      </w:r>
      <w:r>
        <w:rPr>
          <w:rFonts w:ascii="仿宋" w:hAnsi="仿宋" w:eastAsia="仿宋" w:cs="仿宋"/>
          <w:spacing w:val="-29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13"/>
          <w:sz w:val="25"/>
          <w:szCs w:val="25"/>
        </w:rPr>
        <w:t>本</w:t>
      </w:r>
      <w:r>
        <w:rPr>
          <w:rFonts w:ascii="仿宋" w:hAnsi="仿宋" w:eastAsia="仿宋" w:cs="仿宋"/>
          <w:spacing w:val="-45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13"/>
          <w:sz w:val="25"/>
          <w:szCs w:val="25"/>
        </w:rPr>
        <w:t>。</w:t>
      </w:r>
    </w:p>
    <w:p w14:paraId="0B6CC580">
      <w:pPr>
        <w:spacing w:before="34" w:line="222" w:lineRule="auto"/>
        <w:ind w:left="2204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"/>
          <w:sz w:val="30"/>
          <w:szCs w:val="30"/>
        </w:rPr>
        <w:t>二、主要内容</w:t>
      </w:r>
    </w:p>
    <w:p w14:paraId="7D0CB3A6">
      <w:pPr>
        <w:spacing w:before="199" w:line="227" w:lineRule="auto"/>
        <w:ind w:left="2324"/>
        <w:outlineLvl w:val="2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b/>
          <w:bCs/>
          <w:spacing w:val="23"/>
          <w:sz w:val="30"/>
          <w:szCs w:val="30"/>
        </w:rPr>
        <w:t>(一)扩大支持范围</w:t>
      </w:r>
    </w:p>
    <w:p w14:paraId="563D68BA">
      <w:pPr>
        <w:spacing w:before="148" w:line="333" w:lineRule="auto"/>
        <w:ind w:left="1610" w:right="29" w:firstLine="59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5"/>
          <w:sz w:val="30"/>
          <w:szCs w:val="30"/>
        </w:rPr>
        <w:t>市科技局负责建立、更新、动态调整“宁科贷”企业库，在</w:t>
      </w:r>
      <w:r>
        <w:rPr>
          <w:rFonts w:ascii="仿宋" w:hAnsi="仿宋" w:eastAsia="仿宋" w:cs="仿宋"/>
          <w:spacing w:val="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“南京金服”平台予以公布。企业库包括：</w:t>
      </w:r>
    </w:p>
    <w:p w14:paraId="0F2CBEDC">
      <w:pPr>
        <w:pStyle w:val="2"/>
        <w:spacing w:before="14" w:line="222" w:lineRule="auto"/>
        <w:ind w:left="2209"/>
        <w:rPr>
          <w:rFonts w:ascii="仿宋" w:hAnsi="仿宋" w:eastAsia="仿宋" w:cs="仿宋"/>
          <w:sz w:val="30"/>
          <w:szCs w:val="30"/>
        </w:rPr>
      </w:pPr>
      <w:r>
        <w:rPr>
          <w:spacing w:val="1"/>
          <w:sz w:val="30"/>
          <w:szCs w:val="30"/>
        </w:rPr>
        <w:t>1.</w:t>
      </w:r>
      <w:r>
        <w:rPr>
          <w:spacing w:val="-5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"/>
          <w:sz w:val="30"/>
          <w:szCs w:val="30"/>
        </w:rPr>
        <w:t>有效期内的国家高新技术企业；</w:t>
      </w:r>
    </w:p>
    <w:p w14:paraId="71B0D36E">
      <w:pPr>
        <w:pStyle w:val="2"/>
        <w:spacing w:before="154" w:line="305" w:lineRule="auto"/>
        <w:ind w:left="1569" w:right="22" w:firstLine="599"/>
        <w:rPr>
          <w:rFonts w:ascii="仿宋" w:hAnsi="仿宋" w:eastAsia="仿宋" w:cs="仿宋"/>
          <w:sz w:val="25"/>
          <w:szCs w:val="25"/>
        </w:rPr>
      </w:pPr>
      <w:r>
        <w:rPr>
          <w:spacing w:val="12"/>
          <w:sz w:val="30"/>
          <w:szCs w:val="30"/>
        </w:rPr>
        <w:t xml:space="preserve">2. </w:t>
      </w:r>
      <w:r>
        <w:rPr>
          <w:rFonts w:ascii="仿宋" w:hAnsi="仿宋" w:eastAsia="仿宋" w:cs="仿宋"/>
          <w:spacing w:val="12"/>
          <w:sz w:val="30"/>
          <w:szCs w:val="30"/>
        </w:rPr>
        <w:t>上年度或当年度在国家科技型中小企业评价系统入库的</w:t>
      </w:r>
      <w:r>
        <w:rPr>
          <w:rFonts w:ascii="仿宋" w:hAnsi="仿宋" w:eastAsia="仿宋" w:cs="仿宋"/>
          <w:spacing w:val="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2"/>
          <w:sz w:val="25"/>
          <w:szCs w:val="25"/>
        </w:rPr>
        <w:t>企</w:t>
      </w:r>
      <w:r>
        <w:rPr>
          <w:rFonts w:ascii="仿宋" w:hAnsi="仿宋" w:eastAsia="仿宋" w:cs="仿宋"/>
          <w:spacing w:val="-25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12"/>
          <w:sz w:val="25"/>
          <w:szCs w:val="25"/>
        </w:rPr>
        <w:t>业</w:t>
      </w:r>
      <w:r>
        <w:rPr>
          <w:rFonts w:ascii="仿宋" w:hAnsi="仿宋" w:eastAsia="仿宋" w:cs="仿宋"/>
          <w:spacing w:val="-42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12"/>
          <w:sz w:val="25"/>
          <w:szCs w:val="25"/>
        </w:rPr>
        <w:t>。</w:t>
      </w:r>
    </w:p>
    <w:p w14:paraId="4F865A97">
      <w:pPr>
        <w:spacing w:line="305" w:lineRule="auto"/>
        <w:rPr>
          <w:rFonts w:ascii="仿宋" w:hAnsi="仿宋" w:eastAsia="仿宋" w:cs="仿宋"/>
          <w:sz w:val="25"/>
          <w:szCs w:val="25"/>
        </w:rPr>
        <w:sectPr>
          <w:headerReference r:id="rId6" w:type="default"/>
          <w:footerReference r:id="rId7" w:type="default"/>
          <w:pgSz w:w="11900" w:h="16830"/>
          <w:pgMar w:top="559" w:right="1548" w:bottom="1187" w:left="180" w:header="540" w:footer="793" w:gutter="0"/>
          <w:cols w:space="720" w:num="1"/>
        </w:sectPr>
      </w:pPr>
    </w:p>
    <w:p w14:paraId="745911FF">
      <w:pPr>
        <w:spacing w:line="249" w:lineRule="auto"/>
        <w:rPr>
          <w:rFonts w:ascii="Arial"/>
          <w:sz w:val="21"/>
        </w:rPr>
      </w:pPr>
    </w:p>
    <w:p w14:paraId="4E9E1DD2">
      <w:pPr>
        <w:spacing w:line="249" w:lineRule="auto"/>
        <w:rPr>
          <w:rFonts w:ascii="Arial"/>
          <w:sz w:val="21"/>
        </w:rPr>
      </w:pPr>
    </w:p>
    <w:p w14:paraId="2C1D3D10">
      <w:pPr>
        <w:spacing w:line="249" w:lineRule="auto"/>
        <w:rPr>
          <w:rFonts w:ascii="Arial"/>
          <w:sz w:val="21"/>
        </w:rPr>
      </w:pPr>
    </w:p>
    <w:p w14:paraId="2AF5B0BD">
      <w:pPr>
        <w:spacing w:line="249" w:lineRule="auto"/>
        <w:rPr>
          <w:rFonts w:ascii="Arial"/>
          <w:sz w:val="21"/>
        </w:rPr>
      </w:pPr>
    </w:p>
    <w:p w14:paraId="2212EE73">
      <w:pPr>
        <w:spacing w:line="249" w:lineRule="auto"/>
        <w:rPr>
          <w:rFonts w:ascii="Arial"/>
          <w:sz w:val="21"/>
        </w:rPr>
      </w:pPr>
    </w:p>
    <w:p w14:paraId="6BE80211">
      <w:pPr>
        <w:spacing w:line="250" w:lineRule="auto"/>
        <w:rPr>
          <w:rFonts w:ascii="Arial"/>
          <w:sz w:val="21"/>
        </w:rPr>
      </w:pPr>
    </w:p>
    <w:p w14:paraId="4B975E7D">
      <w:pPr>
        <w:spacing w:line="250" w:lineRule="auto"/>
        <w:rPr>
          <w:rFonts w:ascii="Arial"/>
          <w:sz w:val="21"/>
        </w:rPr>
      </w:pPr>
    </w:p>
    <w:p w14:paraId="2D1253D3">
      <w:pPr>
        <w:spacing w:line="250" w:lineRule="auto"/>
        <w:rPr>
          <w:rFonts w:ascii="Arial"/>
          <w:sz w:val="21"/>
        </w:rPr>
      </w:pPr>
    </w:p>
    <w:p w14:paraId="0B884E3D">
      <w:pPr>
        <w:spacing w:line="250" w:lineRule="auto"/>
        <w:rPr>
          <w:rFonts w:ascii="Arial"/>
          <w:sz w:val="21"/>
        </w:rPr>
      </w:pPr>
    </w:p>
    <w:p w14:paraId="35AB7100">
      <w:pPr>
        <w:spacing w:before="97" w:line="334" w:lineRule="auto"/>
        <w:ind w:left="34" w:right="281" w:firstLine="62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8"/>
          <w:sz w:val="30"/>
          <w:szCs w:val="30"/>
        </w:rPr>
        <w:t>以上企业自名单公布之日起30 天内，由市科技局统一更新</w:t>
      </w:r>
      <w:r>
        <w:rPr>
          <w:rFonts w:ascii="仿宋" w:hAnsi="仿宋" w:eastAsia="仿宋" w:cs="仿宋"/>
          <w:spacing w:val="1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入库，并结合实际需要，适时调整企业库范围。</w:t>
      </w:r>
    </w:p>
    <w:p w14:paraId="671470D0">
      <w:pPr>
        <w:spacing w:line="227" w:lineRule="auto"/>
        <w:ind w:left="765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24"/>
          <w:sz w:val="30"/>
          <w:szCs w:val="30"/>
        </w:rPr>
        <w:t>(二)优化支持方式</w:t>
      </w:r>
    </w:p>
    <w:p w14:paraId="11F1F9E6">
      <w:pPr>
        <w:pStyle w:val="2"/>
        <w:spacing w:before="185" w:line="223" w:lineRule="auto"/>
        <w:ind w:left="669"/>
        <w:outlineLvl w:val="2"/>
        <w:rPr>
          <w:rFonts w:ascii="仿宋" w:hAnsi="仿宋" w:eastAsia="仿宋" w:cs="仿宋"/>
          <w:sz w:val="30"/>
          <w:szCs w:val="30"/>
        </w:rPr>
      </w:pPr>
      <w:r>
        <w:rPr>
          <w:b/>
          <w:bCs/>
          <w:spacing w:val="1"/>
          <w:sz w:val="30"/>
          <w:szCs w:val="30"/>
        </w:rPr>
        <w:t>1.</w:t>
      </w:r>
      <w:r>
        <w:rPr>
          <w:spacing w:val="-77"/>
          <w:sz w:val="30"/>
          <w:szCs w:val="30"/>
        </w:rPr>
        <w:t xml:space="preserve"> </w:t>
      </w:r>
      <w:r>
        <w:rPr>
          <w:rFonts w:ascii="仿宋" w:hAnsi="仿宋" w:eastAsia="仿宋" w:cs="仿宋"/>
          <w:b/>
          <w:bCs/>
          <w:spacing w:val="1"/>
          <w:sz w:val="30"/>
          <w:szCs w:val="30"/>
        </w:rPr>
        <w:t>提高贷款额度</w:t>
      </w:r>
    </w:p>
    <w:p w14:paraId="6B653D77">
      <w:pPr>
        <w:spacing w:before="139" w:line="299" w:lineRule="auto"/>
        <w:ind w:left="34" w:right="268" w:firstLine="73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(1)贷款额度：“宁科贷”单户贷款额度最高2000万元(含),</w:t>
      </w:r>
      <w:r>
        <w:rPr>
          <w:rFonts w:ascii="仿宋" w:hAnsi="仿宋" w:eastAsia="仿宋" w:cs="仿宋"/>
          <w:spacing w:val="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且不超过企业近两年年均营业收入金额；贷款发放时，加上本笔</w:t>
      </w:r>
      <w:r>
        <w:rPr>
          <w:rFonts w:ascii="仿宋" w:hAnsi="仿宋" w:eastAsia="仿宋" w:cs="仿宋"/>
          <w:spacing w:val="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</w:rPr>
        <w:t>贷款后的企业资产负债率不超过70%。</w:t>
      </w:r>
    </w:p>
    <w:p w14:paraId="5A52784B">
      <w:pPr>
        <w:spacing w:before="154" w:line="281" w:lineRule="auto"/>
        <w:ind w:left="34" w:right="254" w:firstLine="73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9"/>
          <w:sz w:val="30"/>
          <w:szCs w:val="30"/>
        </w:rPr>
        <w:t>(2)贷款期限：原则上为一年期(含)以内的流动资金贷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5"/>
          <w:sz w:val="30"/>
          <w:szCs w:val="30"/>
        </w:rPr>
        <w:t>款。</w:t>
      </w:r>
    </w:p>
    <w:p w14:paraId="38E87D36">
      <w:pPr>
        <w:pStyle w:val="2"/>
        <w:spacing w:before="186" w:line="222" w:lineRule="auto"/>
        <w:ind w:left="765"/>
        <w:rPr>
          <w:sz w:val="30"/>
          <w:szCs w:val="30"/>
        </w:rPr>
      </w:pPr>
      <w:r>
        <w:rPr>
          <w:rFonts w:ascii="仿宋" w:hAnsi="仿宋" w:eastAsia="仿宋" w:cs="仿宋"/>
          <w:spacing w:val="4"/>
          <w:sz w:val="30"/>
          <w:szCs w:val="30"/>
        </w:rPr>
        <w:t>(3)贷款利率：</w:t>
      </w:r>
      <w:r>
        <w:rPr>
          <w:rFonts w:ascii="仿宋" w:hAnsi="仿宋" w:eastAsia="仿宋" w:cs="仿宋"/>
          <w:spacing w:val="8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“宁科贷”利率不超过一年</w:t>
      </w:r>
      <w:r>
        <w:rPr>
          <w:rFonts w:ascii="仿宋" w:hAnsi="仿宋" w:eastAsia="仿宋" w:cs="仿宋"/>
          <w:spacing w:val="3"/>
          <w:sz w:val="30"/>
          <w:szCs w:val="30"/>
        </w:rPr>
        <w:t>期</w:t>
      </w:r>
      <w:r>
        <w:rPr>
          <w:rFonts w:ascii="Times New Roman" w:hAnsi="Times New Roman" w:eastAsia="Times New Roman" w:cs="Times New Roman"/>
          <w:sz w:val="30"/>
          <w:szCs w:val="30"/>
        </w:rPr>
        <w:t>LPR</w:t>
      </w:r>
      <w:r>
        <w:rPr>
          <w:rFonts w:ascii="Times New Roman" w:hAnsi="Times New Roman" w:eastAsia="Times New Roman" w:cs="Times New Roman"/>
          <w:spacing w:val="3"/>
          <w:sz w:val="30"/>
          <w:szCs w:val="30"/>
        </w:rPr>
        <w:t>+80</w:t>
      </w:r>
      <w:r>
        <w:rPr>
          <w:rFonts w:ascii="Times New Roman" w:hAnsi="Times New Roman" w:eastAsia="Times New Roman" w:cs="Times New Roman"/>
          <w:sz w:val="30"/>
          <w:szCs w:val="30"/>
        </w:rPr>
        <w:t>BP</w:t>
      </w:r>
      <w:r>
        <w:rPr>
          <w:spacing w:val="3"/>
          <w:sz w:val="30"/>
          <w:szCs w:val="30"/>
        </w:rPr>
        <w:t>。</w:t>
      </w:r>
    </w:p>
    <w:p w14:paraId="37F8A2A0">
      <w:pPr>
        <w:pStyle w:val="2"/>
        <w:spacing w:before="163" w:line="222" w:lineRule="auto"/>
        <w:ind w:left="629"/>
        <w:outlineLvl w:val="2"/>
        <w:rPr>
          <w:rFonts w:ascii="仿宋" w:hAnsi="仿宋" w:eastAsia="仿宋" w:cs="仿宋"/>
          <w:sz w:val="30"/>
          <w:szCs w:val="30"/>
        </w:rPr>
      </w:pPr>
      <w:r>
        <w:rPr>
          <w:b/>
          <w:bCs/>
          <w:spacing w:val="2"/>
          <w:sz w:val="30"/>
          <w:szCs w:val="30"/>
        </w:rPr>
        <w:t>2.</w:t>
      </w:r>
      <w:r>
        <w:rPr>
          <w:spacing w:val="-49"/>
          <w:sz w:val="30"/>
          <w:szCs w:val="30"/>
        </w:rPr>
        <w:t xml:space="preserve"> </w:t>
      </w:r>
      <w:r>
        <w:rPr>
          <w:rFonts w:ascii="仿宋" w:hAnsi="仿宋" w:eastAsia="仿宋" w:cs="仿宋"/>
          <w:b/>
          <w:bCs/>
          <w:spacing w:val="2"/>
          <w:sz w:val="30"/>
          <w:szCs w:val="30"/>
        </w:rPr>
        <w:t>完善市场化风险分担机制</w:t>
      </w:r>
    </w:p>
    <w:p w14:paraId="7E96DABD">
      <w:pPr>
        <w:spacing w:before="170" w:line="331" w:lineRule="auto"/>
        <w:ind w:left="34" w:right="264" w:firstLine="73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6"/>
          <w:sz w:val="30"/>
          <w:szCs w:val="30"/>
        </w:rPr>
        <w:t>(1)企业库内小微企业：单户贷款额度1000万元(含)以</w:t>
      </w:r>
      <w:r>
        <w:rPr>
          <w:rFonts w:ascii="仿宋" w:hAnsi="仿宋" w:eastAsia="仿宋" w:cs="仿宋"/>
          <w:spacing w:val="1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3"/>
          <w:sz w:val="30"/>
          <w:szCs w:val="30"/>
        </w:rPr>
        <w:t>内的，由合作融资担保机构、合作银行、市级财政、省级再担保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"/>
          <w:sz w:val="30"/>
          <w:szCs w:val="30"/>
        </w:rPr>
        <w:t>机构按照1:2:3:4的比例承担贷款本金风险</w:t>
      </w:r>
      <w:r>
        <w:rPr>
          <w:rFonts w:ascii="仿宋" w:hAnsi="仿宋" w:eastAsia="仿宋" w:cs="仿宋"/>
          <w:spacing w:val="-2"/>
          <w:sz w:val="30"/>
          <w:szCs w:val="30"/>
        </w:rPr>
        <w:t>，市级财政给予合作融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资担保机构担保本金0.2%的担保费补贴。</w:t>
      </w:r>
    </w:p>
    <w:p w14:paraId="1F8B02D6">
      <w:pPr>
        <w:spacing w:before="2" w:line="326" w:lineRule="auto"/>
        <w:ind w:left="34" w:firstLine="62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8"/>
          <w:sz w:val="30"/>
          <w:szCs w:val="30"/>
        </w:rPr>
        <w:t>对于符合条件的不良贷款，合作银行承担20%的贷款本金损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3"/>
          <w:sz w:val="30"/>
          <w:szCs w:val="30"/>
        </w:rPr>
        <w:t>失和全部利息损失，合作融资担保机构承担80%的贷款本金损</w:t>
      </w:r>
      <w:r>
        <w:rPr>
          <w:rFonts w:ascii="仿宋" w:hAnsi="仿宋" w:eastAsia="仿宋" w:cs="仿宋"/>
          <w:spacing w:val="2"/>
          <w:sz w:val="30"/>
          <w:szCs w:val="30"/>
        </w:rPr>
        <w:t>失。</w:t>
      </w:r>
      <w:r>
        <w:rPr>
          <w:rFonts w:ascii="仿宋" w:hAnsi="仿宋" w:eastAsia="仿宋" w:cs="仿宋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4"/>
          <w:sz w:val="30"/>
          <w:szCs w:val="30"/>
        </w:rPr>
        <w:t>合作融资担保机构履行代偿责任后，可向省级再担保机构申请贷</w:t>
      </w:r>
      <w:r>
        <w:rPr>
          <w:rFonts w:ascii="仿宋" w:hAnsi="仿宋" w:eastAsia="仿宋" w:cs="仿宋"/>
          <w:spacing w:val="1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9"/>
          <w:sz w:val="30"/>
          <w:szCs w:val="30"/>
        </w:rPr>
        <w:t>款本金损失的40%的风险补偿，向市级财政申请贷款本金损失的</w:t>
      </w:r>
      <w:r>
        <w:rPr>
          <w:rFonts w:ascii="仿宋" w:hAnsi="仿宋" w:eastAsia="仿宋" w:cs="仿宋"/>
          <w:spacing w:val="3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9"/>
          <w:sz w:val="30"/>
          <w:szCs w:val="30"/>
        </w:rPr>
        <w:t>30%的风险补偿。未能通过省级再担保机构风险补</w:t>
      </w:r>
      <w:r>
        <w:rPr>
          <w:rFonts w:ascii="仿宋" w:hAnsi="仿宋" w:eastAsia="仿宋" w:cs="仿宋"/>
          <w:spacing w:val="8"/>
          <w:sz w:val="30"/>
          <w:szCs w:val="30"/>
        </w:rPr>
        <w:t>偿审核的，合</w:t>
      </w:r>
      <w:r>
        <w:rPr>
          <w:rFonts w:ascii="仿宋" w:hAnsi="仿宋" w:eastAsia="仿宋" w:cs="仿宋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3"/>
          <w:sz w:val="30"/>
          <w:szCs w:val="30"/>
        </w:rPr>
        <w:t>作融资担保机构于10个工作日内，将市级风险补偿资金全额退</w:t>
      </w:r>
      <w:r>
        <w:rPr>
          <w:rFonts w:ascii="仿宋" w:hAnsi="仿宋" w:eastAsia="仿宋" w:cs="仿宋"/>
          <w:spacing w:val="2"/>
          <w:sz w:val="30"/>
          <w:szCs w:val="30"/>
        </w:rPr>
        <w:t>回。</w:t>
      </w:r>
    </w:p>
    <w:p w14:paraId="76FB16E1">
      <w:pPr>
        <w:spacing w:before="22" w:line="325" w:lineRule="auto"/>
        <w:ind w:left="34" w:right="278" w:firstLine="62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7"/>
          <w:sz w:val="30"/>
          <w:szCs w:val="30"/>
        </w:rPr>
        <w:t>单户贷款额度1000万元-2000万元(含)的，</w:t>
      </w:r>
      <w:r>
        <w:rPr>
          <w:rFonts w:ascii="仿宋" w:hAnsi="仿宋" w:eastAsia="仿宋" w:cs="仿宋"/>
          <w:spacing w:val="26"/>
          <w:sz w:val="30"/>
          <w:szCs w:val="30"/>
        </w:rPr>
        <w:t>超过1000万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9"/>
          <w:sz w:val="30"/>
          <w:szCs w:val="30"/>
        </w:rPr>
        <w:t>元部分，合作银行承担30%的贷款本金损失和全部</w:t>
      </w:r>
      <w:r>
        <w:rPr>
          <w:rFonts w:ascii="仿宋" w:hAnsi="仿宋" w:eastAsia="仿宋" w:cs="仿宋"/>
          <w:spacing w:val="8"/>
          <w:sz w:val="30"/>
          <w:szCs w:val="30"/>
        </w:rPr>
        <w:t>利息损失，合</w:t>
      </w:r>
    </w:p>
    <w:p w14:paraId="551E1D35">
      <w:pPr>
        <w:spacing w:line="325" w:lineRule="auto"/>
        <w:rPr>
          <w:rFonts w:ascii="仿宋" w:hAnsi="仿宋" w:eastAsia="仿宋" w:cs="仿宋"/>
          <w:sz w:val="30"/>
          <w:szCs w:val="30"/>
        </w:rPr>
        <w:sectPr>
          <w:headerReference r:id="rId8" w:type="default"/>
          <w:footerReference r:id="rId9" w:type="default"/>
          <w:pgSz w:w="11900" w:h="16830"/>
          <w:pgMar w:top="400" w:right="1290" w:bottom="1257" w:left="1785" w:header="0" w:footer="868" w:gutter="0"/>
          <w:cols w:space="720" w:num="1"/>
        </w:sectPr>
      </w:pPr>
    </w:p>
    <w:p w14:paraId="548FAE27">
      <w:pPr>
        <w:spacing w:line="259" w:lineRule="auto"/>
        <w:rPr>
          <w:rFonts w:ascii="Arial"/>
          <w:sz w:val="21"/>
        </w:rPr>
      </w:pPr>
    </w:p>
    <w:p w14:paraId="65C2BD1C">
      <w:pPr>
        <w:spacing w:line="259" w:lineRule="auto"/>
        <w:rPr>
          <w:rFonts w:ascii="Arial"/>
          <w:sz w:val="21"/>
        </w:rPr>
      </w:pPr>
    </w:p>
    <w:p w14:paraId="0D6F7FD2">
      <w:pPr>
        <w:spacing w:line="259" w:lineRule="auto"/>
        <w:rPr>
          <w:rFonts w:ascii="Arial"/>
          <w:sz w:val="21"/>
        </w:rPr>
      </w:pPr>
    </w:p>
    <w:p w14:paraId="1211AC94">
      <w:pPr>
        <w:spacing w:line="260" w:lineRule="auto"/>
        <w:rPr>
          <w:rFonts w:ascii="Arial"/>
          <w:sz w:val="21"/>
        </w:rPr>
      </w:pPr>
    </w:p>
    <w:p w14:paraId="02B81466">
      <w:pPr>
        <w:spacing w:line="260" w:lineRule="auto"/>
        <w:rPr>
          <w:rFonts w:ascii="Arial"/>
          <w:sz w:val="21"/>
        </w:rPr>
      </w:pPr>
    </w:p>
    <w:p w14:paraId="26EDCA3E">
      <w:pPr>
        <w:spacing w:line="260" w:lineRule="auto"/>
        <w:rPr>
          <w:rFonts w:ascii="Arial"/>
          <w:sz w:val="21"/>
        </w:rPr>
      </w:pPr>
    </w:p>
    <w:p w14:paraId="0621E75E">
      <w:pPr>
        <w:spacing w:line="260" w:lineRule="auto"/>
        <w:rPr>
          <w:rFonts w:ascii="Arial"/>
          <w:sz w:val="21"/>
        </w:rPr>
      </w:pPr>
    </w:p>
    <w:p w14:paraId="4C112960">
      <w:pPr>
        <w:spacing w:line="260" w:lineRule="auto"/>
        <w:rPr>
          <w:rFonts w:ascii="Arial"/>
          <w:sz w:val="21"/>
        </w:rPr>
      </w:pPr>
    </w:p>
    <w:p w14:paraId="2B4BD26C">
      <w:pPr>
        <w:spacing w:line="260" w:lineRule="auto"/>
        <w:rPr>
          <w:rFonts w:ascii="Arial"/>
          <w:sz w:val="21"/>
        </w:rPr>
      </w:pPr>
    </w:p>
    <w:p w14:paraId="1ADD2994">
      <w:pPr>
        <w:spacing w:before="94" w:line="341" w:lineRule="auto"/>
        <w:ind w:right="12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8"/>
          <w:sz w:val="29"/>
          <w:szCs w:val="29"/>
        </w:rPr>
        <w:t>作融资担保机构承担70%的贷款本金损失，市级财政给予合作融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资担保机构不超过担保本金0.4%的担保费补贴。</w:t>
      </w:r>
    </w:p>
    <w:p w14:paraId="61A0DC6E">
      <w:pPr>
        <w:spacing w:before="5" w:line="343" w:lineRule="auto"/>
        <w:ind w:firstLine="729"/>
        <w:jc w:val="both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6"/>
          <w:sz w:val="29"/>
          <w:szCs w:val="29"/>
        </w:rPr>
        <w:t>(2)企业库内非小微企业：单户贷款额度2000 万</w:t>
      </w:r>
      <w:r>
        <w:rPr>
          <w:rFonts w:ascii="仿宋" w:hAnsi="仿宋" w:eastAsia="仿宋" w:cs="仿宋"/>
          <w:spacing w:val="-3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5"/>
          <w:sz w:val="29"/>
          <w:szCs w:val="29"/>
        </w:rPr>
        <w:t>元 (</w:t>
      </w:r>
      <w:r>
        <w:rPr>
          <w:rFonts w:ascii="仿宋" w:hAnsi="仿宋" w:eastAsia="仿宋" w:cs="仿宋"/>
          <w:spacing w:val="-3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5"/>
          <w:sz w:val="29"/>
          <w:szCs w:val="29"/>
        </w:rPr>
        <w:t>含</w:t>
      </w:r>
      <w:r>
        <w:rPr>
          <w:rFonts w:ascii="仿宋" w:hAnsi="仿宋" w:eastAsia="仿宋" w:cs="仿宋"/>
          <w:spacing w:val="-4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5"/>
          <w:sz w:val="29"/>
          <w:szCs w:val="29"/>
        </w:rPr>
        <w:t>)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8"/>
          <w:sz w:val="29"/>
          <w:szCs w:val="29"/>
        </w:rPr>
        <w:t>以内的，合作银行承担30%的贷款本金损失和全部利息损失，合</w:t>
      </w:r>
      <w:r>
        <w:rPr>
          <w:rFonts w:ascii="仿宋" w:hAnsi="仿宋" w:eastAsia="仿宋" w:cs="仿宋"/>
          <w:spacing w:val="3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19"/>
          <w:sz w:val="29"/>
          <w:szCs w:val="29"/>
        </w:rPr>
        <w:t>作融资担保机构承担70%的贷款本金损失，市财</w:t>
      </w:r>
      <w:r>
        <w:rPr>
          <w:rFonts w:ascii="仿宋" w:hAnsi="仿宋" w:eastAsia="仿宋" w:cs="仿宋"/>
          <w:spacing w:val="18"/>
          <w:sz w:val="29"/>
          <w:szCs w:val="29"/>
        </w:rPr>
        <w:t>政给予合作融资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担保机构不超过担保本金0.4%的担保费补贴。</w:t>
      </w:r>
    </w:p>
    <w:p w14:paraId="3B8DB231">
      <w:pPr>
        <w:spacing w:line="227" w:lineRule="auto"/>
        <w:ind w:left="734"/>
        <w:outlineLvl w:val="2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b/>
          <w:bCs/>
          <w:spacing w:val="29"/>
          <w:sz w:val="29"/>
          <w:szCs w:val="29"/>
        </w:rPr>
        <w:t>(三)支持企业首贷</w:t>
      </w:r>
    </w:p>
    <w:p w14:paraId="216AA337">
      <w:pPr>
        <w:spacing w:before="149" w:line="344" w:lineRule="auto"/>
        <w:ind w:right="119" w:firstLine="590"/>
        <w:jc w:val="both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3"/>
          <w:sz w:val="29"/>
          <w:szCs w:val="29"/>
        </w:rPr>
        <w:t>对于单户总额1000 万元及以下、首次贷款的(在中国人民</w:t>
      </w:r>
      <w:r>
        <w:rPr>
          <w:rFonts w:ascii="仿宋" w:hAnsi="仿宋" w:eastAsia="仿宋" w:cs="仿宋"/>
          <w:spacing w:val="1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9"/>
          <w:sz w:val="29"/>
          <w:szCs w:val="29"/>
        </w:rPr>
        <w:t>银行征信系统从未有过贷款业务记录)“宁科贷”贷款，给予贷</w:t>
      </w:r>
      <w:r>
        <w:rPr>
          <w:rFonts w:ascii="仿宋" w:hAnsi="仿宋" w:eastAsia="仿宋" w:cs="仿宋"/>
          <w:spacing w:val="7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29"/>
          <w:sz w:val="29"/>
          <w:szCs w:val="29"/>
        </w:rPr>
        <w:t>款企业用信金额年化1%的首贷补贴，补贴期限不超过1年，补</w:t>
      </w:r>
      <w:r>
        <w:rPr>
          <w:rFonts w:ascii="仿宋" w:hAnsi="仿宋" w:eastAsia="仿宋" w:cs="仿宋"/>
          <w:spacing w:val="1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7"/>
          <w:sz w:val="29"/>
          <w:szCs w:val="29"/>
        </w:rPr>
        <w:t>贴金额不超过实际支付利息、最高10万元。</w:t>
      </w:r>
    </w:p>
    <w:p w14:paraId="553EF938">
      <w:pPr>
        <w:spacing w:before="1" w:line="220" w:lineRule="auto"/>
        <w:ind w:left="594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7"/>
          <w:sz w:val="29"/>
          <w:szCs w:val="29"/>
        </w:rPr>
        <w:t>三、工作任务</w:t>
      </w:r>
    </w:p>
    <w:p w14:paraId="02B5E649">
      <w:pPr>
        <w:spacing w:before="178" w:line="223" w:lineRule="auto"/>
        <w:ind w:left="734"/>
        <w:outlineLvl w:val="2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b/>
          <w:bCs/>
          <w:spacing w:val="23"/>
          <w:sz w:val="29"/>
          <w:szCs w:val="29"/>
        </w:rPr>
        <w:t>(</w:t>
      </w:r>
      <w:r>
        <w:rPr>
          <w:rFonts w:ascii="楷体" w:hAnsi="楷体" w:eastAsia="楷体" w:cs="楷体"/>
          <w:spacing w:val="-84"/>
          <w:sz w:val="29"/>
          <w:szCs w:val="29"/>
        </w:rPr>
        <w:t xml:space="preserve"> </w:t>
      </w:r>
      <w:r>
        <w:rPr>
          <w:rFonts w:ascii="楷体" w:hAnsi="楷体" w:eastAsia="楷体" w:cs="楷体"/>
          <w:b/>
          <w:bCs/>
          <w:spacing w:val="23"/>
          <w:sz w:val="29"/>
          <w:szCs w:val="29"/>
        </w:rPr>
        <w:t>一)金融机构合作</w:t>
      </w:r>
    </w:p>
    <w:p w14:paraId="1FF66403">
      <w:pPr>
        <w:spacing w:before="191" w:line="301" w:lineRule="auto"/>
        <w:ind w:right="119" w:firstLine="59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8"/>
          <w:sz w:val="29"/>
          <w:szCs w:val="29"/>
        </w:rPr>
        <w:t>1. “宁科贷”原则上面向全部在宁经办银行开放，鼓励银行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与合作融资担保机构自主合作，面向科技企业开展“宁科贷”贷</w:t>
      </w:r>
      <w:r>
        <w:rPr>
          <w:rFonts w:ascii="仿宋" w:hAnsi="仿宋" w:eastAsia="仿宋" w:cs="仿宋"/>
          <w:spacing w:val="2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6"/>
          <w:sz w:val="29"/>
          <w:szCs w:val="29"/>
        </w:rPr>
        <w:t>款业务。</w:t>
      </w:r>
    </w:p>
    <w:p w14:paraId="5DE8D461">
      <w:pPr>
        <w:pStyle w:val="2"/>
        <w:spacing w:before="174" w:line="308" w:lineRule="auto"/>
        <w:ind w:right="124" w:firstLine="590"/>
        <w:rPr>
          <w:rFonts w:ascii="仿宋" w:hAnsi="仿宋" w:eastAsia="仿宋" w:cs="仿宋"/>
          <w:sz w:val="29"/>
          <w:szCs w:val="29"/>
        </w:rPr>
      </w:pPr>
      <w:r>
        <w:rPr>
          <w:spacing w:val="10"/>
          <w:sz w:val="29"/>
          <w:szCs w:val="29"/>
        </w:rPr>
        <w:t>2.</w:t>
      </w:r>
      <w:r>
        <w:rPr>
          <w:spacing w:val="-3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0"/>
          <w:sz w:val="29"/>
          <w:szCs w:val="29"/>
        </w:rPr>
        <w:t>市级合作融资担保机构清单见《关于优化</w:t>
      </w:r>
      <w:r>
        <w:rPr>
          <w:rFonts w:ascii="仿宋" w:hAnsi="仿宋" w:eastAsia="仿宋" w:cs="仿宋"/>
          <w:spacing w:val="9"/>
          <w:sz w:val="29"/>
          <w:szCs w:val="29"/>
        </w:rPr>
        <w:t>南京市创新创业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21"/>
          <w:sz w:val="29"/>
          <w:szCs w:val="29"/>
        </w:rPr>
        <w:t>贷款市场风险分担机制的通知》(宁财金通〔2023〕39号)。省</w:t>
      </w:r>
      <w:r>
        <w:rPr>
          <w:rFonts w:ascii="仿宋" w:hAnsi="仿宋" w:eastAsia="仿宋" w:cs="仿宋"/>
          <w:spacing w:val="17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级融资担保机构向市科技局、市财政局书面报备后，可按</w:t>
      </w:r>
      <w:r>
        <w:rPr>
          <w:rFonts w:ascii="仿宋" w:hAnsi="仿宋" w:eastAsia="仿宋" w:cs="仿宋"/>
          <w:spacing w:val="13"/>
          <w:sz w:val="29"/>
          <w:szCs w:val="29"/>
        </w:rPr>
        <w:t>照规定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1"/>
          <w:sz w:val="29"/>
          <w:szCs w:val="29"/>
        </w:rPr>
        <w:t>在本市开展“宁科贷”相关业务。</w:t>
      </w:r>
    </w:p>
    <w:p w14:paraId="0B3DD539">
      <w:pPr>
        <w:pStyle w:val="2"/>
        <w:spacing w:before="194" w:line="303" w:lineRule="auto"/>
        <w:ind w:right="106" w:firstLine="590"/>
        <w:rPr>
          <w:rFonts w:ascii="仿宋" w:hAnsi="仿宋" w:eastAsia="仿宋" w:cs="仿宋"/>
          <w:sz w:val="29"/>
          <w:szCs w:val="29"/>
        </w:rPr>
      </w:pPr>
      <w:r>
        <w:rPr>
          <w:spacing w:val="10"/>
          <w:sz w:val="29"/>
          <w:szCs w:val="29"/>
        </w:rPr>
        <w:t>3.</w:t>
      </w:r>
      <w:r>
        <w:rPr>
          <w:spacing w:val="-38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0"/>
          <w:sz w:val="29"/>
          <w:szCs w:val="29"/>
        </w:rPr>
        <w:t>合作银行、融资担保机构根据本方案规定，按年度签</w:t>
      </w:r>
      <w:r>
        <w:rPr>
          <w:rFonts w:ascii="仿宋" w:hAnsi="仿宋" w:eastAsia="仿宋" w:cs="仿宋"/>
          <w:spacing w:val="9"/>
          <w:sz w:val="29"/>
          <w:szCs w:val="29"/>
        </w:rPr>
        <w:t>署合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作协议后，方可开展相关业务。合作协议签署后，由融资担保机</w:t>
      </w:r>
      <w:r>
        <w:rPr>
          <w:rFonts w:ascii="仿宋" w:hAnsi="仿宋" w:eastAsia="仿宋" w:cs="仿宋"/>
          <w:spacing w:val="1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7"/>
          <w:sz w:val="29"/>
          <w:szCs w:val="29"/>
        </w:rPr>
        <w:t>构于10个工作日内报送市科技局、市财政局备案。</w:t>
      </w:r>
    </w:p>
    <w:p w14:paraId="494B7C61">
      <w:pPr>
        <w:spacing w:line="303" w:lineRule="auto"/>
        <w:rPr>
          <w:rFonts w:ascii="仿宋" w:hAnsi="仿宋" w:eastAsia="仿宋" w:cs="仿宋"/>
          <w:sz w:val="29"/>
          <w:szCs w:val="29"/>
        </w:rPr>
        <w:sectPr>
          <w:footerReference r:id="rId10" w:type="default"/>
          <w:pgSz w:w="11900" w:h="16830"/>
          <w:pgMar w:top="400" w:right="1485" w:bottom="1219" w:left="1780" w:header="0" w:footer="840" w:gutter="0"/>
          <w:cols w:space="720" w:num="1"/>
        </w:sectPr>
      </w:pPr>
    </w:p>
    <w:p w14:paraId="05E851FE">
      <w:pPr>
        <w:spacing w:line="252" w:lineRule="auto"/>
        <w:rPr>
          <w:rFonts w:ascii="Arial"/>
          <w:sz w:val="21"/>
        </w:rPr>
      </w:pPr>
    </w:p>
    <w:p w14:paraId="2B0BC88B">
      <w:pPr>
        <w:spacing w:line="252" w:lineRule="auto"/>
        <w:rPr>
          <w:rFonts w:ascii="Arial"/>
          <w:sz w:val="21"/>
        </w:rPr>
      </w:pPr>
    </w:p>
    <w:p w14:paraId="203C6392">
      <w:pPr>
        <w:spacing w:line="253" w:lineRule="auto"/>
        <w:rPr>
          <w:rFonts w:ascii="Arial"/>
          <w:sz w:val="21"/>
        </w:rPr>
      </w:pPr>
    </w:p>
    <w:p w14:paraId="5F9E02E3">
      <w:pPr>
        <w:spacing w:line="253" w:lineRule="auto"/>
        <w:rPr>
          <w:rFonts w:ascii="Arial"/>
          <w:sz w:val="21"/>
        </w:rPr>
      </w:pPr>
    </w:p>
    <w:p w14:paraId="47FA5C92">
      <w:pPr>
        <w:spacing w:line="253" w:lineRule="auto"/>
        <w:rPr>
          <w:rFonts w:ascii="Arial"/>
          <w:sz w:val="21"/>
        </w:rPr>
      </w:pPr>
    </w:p>
    <w:p w14:paraId="7506243B">
      <w:pPr>
        <w:spacing w:line="253" w:lineRule="auto"/>
        <w:rPr>
          <w:rFonts w:ascii="Arial"/>
          <w:sz w:val="21"/>
        </w:rPr>
      </w:pPr>
    </w:p>
    <w:p w14:paraId="74CD9772">
      <w:pPr>
        <w:spacing w:line="253" w:lineRule="auto"/>
        <w:rPr>
          <w:rFonts w:ascii="Arial"/>
          <w:sz w:val="21"/>
        </w:rPr>
      </w:pPr>
    </w:p>
    <w:p w14:paraId="32342B54">
      <w:pPr>
        <w:spacing w:line="253" w:lineRule="auto"/>
        <w:rPr>
          <w:rFonts w:ascii="Arial"/>
          <w:sz w:val="21"/>
        </w:rPr>
      </w:pPr>
    </w:p>
    <w:p w14:paraId="47566C29">
      <w:pPr>
        <w:spacing w:line="253" w:lineRule="auto"/>
        <w:rPr>
          <w:rFonts w:ascii="Arial"/>
          <w:sz w:val="21"/>
        </w:rPr>
      </w:pPr>
    </w:p>
    <w:p w14:paraId="011F03E6">
      <w:pPr>
        <w:pStyle w:val="2"/>
        <w:spacing w:before="94" w:line="338" w:lineRule="auto"/>
        <w:ind w:right="21" w:firstLine="709"/>
        <w:jc w:val="both"/>
        <w:rPr>
          <w:rFonts w:ascii="仿宋" w:hAnsi="仿宋" w:eastAsia="仿宋" w:cs="仿宋"/>
          <w:sz w:val="29"/>
          <w:szCs w:val="29"/>
        </w:rPr>
      </w:pPr>
      <w:r>
        <w:rPr>
          <w:spacing w:val="11"/>
          <w:sz w:val="29"/>
          <w:szCs w:val="29"/>
        </w:rPr>
        <w:t>4.</w:t>
      </w:r>
      <w:r>
        <w:rPr>
          <w:spacing w:val="-5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1"/>
          <w:sz w:val="29"/>
          <w:szCs w:val="29"/>
        </w:rPr>
        <w:t>对于合作银行、融资担保机构在“宁科贷”合</w:t>
      </w:r>
      <w:r>
        <w:rPr>
          <w:rFonts w:ascii="仿宋" w:hAnsi="仿宋" w:eastAsia="仿宋" w:cs="仿宋"/>
          <w:spacing w:val="10"/>
          <w:sz w:val="29"/>
          <w:szCs w:val="29"/>
        </w:rPr>
        <w:t>作过程中存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3"/>
          <w:sz w:val="29"/>
          <w:szCs w:val="29"/>
        </w:rPr>
        <w:t>在违法违规行为且情节严重、影响恶劣的，经“宁科贷”联席会</w:t>
      </w:r>
      <w:r>
        <w:rPr>
          <w:rFonts w:ascii="仿宋" w:hAnsi="仿宋" w:eastAsia="仿宋" w:cs="仿宋"/>
          <w:spacing w:val="1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9"/>
          <w:sz w:val="29"/>
          <w:szCs w:val="29"/>
        </w:rPr>
        <w:t>议审议通过后，终止合作。</w:t>
      </w:r>
    </w:p>
    <w:p w14:paraId="41F0F4B4">
      <w:pPr>
        <w:spacing w:before="11" w:line="227" w:lineRule="auto"/>
        <w:ind w:left="814"/>
        <w:outlineLvl w:val="2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b/>
          <w:bCs/>
          <w:spacing w:val="25"/>
          <w:sz w:val="29"/>
          <w:szCs w:val="29"/>
        </w:rPr>
        <w:t>(二)贷款申请和投放</w:t>
      </w:r>
    </w:p>
    <w:p w14:paraId="126FABF1">
      <w:pPr>
        <w:pStyle w:val="2"/>
        <w:spacing w:before="200" w:line="276" w:lineRule="auto"/>
        <w:ind w:right="56" w:firstLine="709"/>
        <w:rPr>
          <w:rFonts w:ascii="仿宋" w:hAnsi="仿宋" w:eastAsia="仿宋" w:cs="仿宋"/>
          <w:sz w:val="29"/>
          <w:szCs w:val="29"/>
        </w:rPr>
      </w:pPr>
      <w:r>
        <w:rPr>
          <w:spacing w:val="9"/>
          <w:sz w:val="29"/>
          <w:szCs w:val="29"/>
        </w:rPr>
        <w:t>1.</w:t>
      </w:r>
      <w:r>
        <w:rPr>
          <w:spacing w:val="-4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9"/>
          <w:sz w:val="29"/>
          <w:szCs w:val="29"/>
        </w:rPr>
        <w:t>依托“南京金服”平台全流程在线受理“宁科贷”申请业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"/>
          <w:sz w:val="29"/>
          <w:szCs w:val="29"/>
        </w:rPr>
        <w:t>务。合作银行、融资担保机构应加强与“南京金服”平</w:t>
      </w:r>
      <w:r>
        <w:rPr>
          <w:rFonts w:ascii="仿宋" w:hAnsi="仿宋" w:eastAsia="仿宋" w:cs="仿宋"/>
          <w:sz w:val="29"/>
          <w:szCs w:val="29"/>
        </w:rPr>
        <w:t>台的对接，</w:t>
      </w:r>
    </w:p>
    <w:p w14:paraId="715A4C7E">
      <w:pPr>
        <w:spacing w:before="174" w:line="220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"/>
          <w:sz w:val="29"/>
          <w:szCs w:val="29"/>
        </w:rPr>
        <w:t>及时、准确更新企业贷款申请、放款、还款、逾期、代偿等信息。</w:t>
      </w:r>
    </w:p>
    <w:p w14:paraId="1AB18AB7">
      <w:pPr>
        <w:pStyle w:val="2"/>
        <w:spacing w:before="224" w:line="276" w:lineRule="auto"/>
        <w:ind w:right="93" w:firstLine="649"/>
        <w:rPr>
          <w:rFonts w:ascii="仿宋" w:hAnsi="仿宋" w:eastAsia="仿宋" w:cs="仿宋"/>
          <w:sz w:val="29"/>
          <w:szCs w:val="29"/>
        </w:rPr>
      </w:pPr>
      <w:r>
        <w:rPr>
          <w:spacing w:val="10"/>
          <w:sz w:val="29"/>
          <w:szCs w:val="29"/>
        </w:rPr>
        <w:t>2.</w:t>
      </w:r>
      <w:r>
        <w:rPr>
          <w:spacing w:val="-4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0"/>
          <w:sz w:val="29"/>
          <w:szCs w:val="29"/>
        </w:rPr>
        <w:t>担保费补贴经申请、审核、联席会议审议确认</w:t>
      </w:r>
      <w:r>
        <w:rPr>
          <w:rFonts w:ascii="仿宋" w:hAnsi="仿宋" w:eastAsia="仿宋" w:cs="仿宋"/>
          <w:spacing w:val="9"/>
          <w:sz w:val="29"/>
          <w:szCs w:val="29"/>
        </w:rPr>
        <w:t>，按规定拨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"/>
          <w:sz w:val="29"/>
          <w:szCs w:val="29"/>
        </w:rPr>
        <w:t>付。</w:t>
      </w:r>
    </w:p>
    <w:p w14:paraId="2BEDFF18">
      <w:pPr>
        <w:pStyle w:val="2"/>
        <w:spacing w:before="204" w:line="276" w:lineRule="auto"/>
        <w:ind w:left="55" w:firstLine="594"/>
        <w:rPr>
          <w:rFonts w:ascii="仿宋" w:hAnsi="仿宋" w:eastAsia="仿宋" w:cs="仿宋"/>
          <w:sz w:val="29"/>
          <w:szCs w:val="29"/>
        </w:rPr>
      </w:pPr>
      <w:r>
        <w:rPr>
          <w:spacing w:val="2"/>
          <w:sz w:val="29"/>
          <w:szCs w:val="29"/>
        </w:rPr>
        <w:t>3.</w:t>
      </w:r>
      <w:r>
        <w:rPr>
          <w:spacing w:val="-27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2"/>
          <w:sz w:val="29"/>
          <w:szCs w:val="29"/>
        </w:rPr>
        <w:t>鼓励合作银行对符合条件的企业开展“无还本续贷”业务，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3"/>
          <w:sz w:val="29"/>
          <w:szCs w:val="29"/>
        </w:rPr>
        <w:t>“宁科贷”政策下“无还本续贷”业务原则上不得更换承保的担</w:t>
      </w:r>
    </w:p>
    <w:p w14:paraId="6CCCD8F1">
      <w:pPr>
        <w:spacing w:before="172" w:line="221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8"/>
          <w:sz w:val="29"/>
          <w:szCs w:val="29"/>
        </w:rPr>
        <w:t>保机构。</w:t>
      </w:r>
    </w:p>
    <w:p w14:paraId="56CBEC1E">
      <w:pPr>
        <w:spacing w:before="192" w:line="227" w:lineRule="auto"/>
        <w:ind w:left="764"/>
        <w:outlineLvl w:val="2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b/>
          <w:bCs/>
          <w:spacing w:val="28"/>
          <w:sz w:val="29"/>
          <w:szCs w:val="29"/>
        </w:rPr>
        <w:t>(三)不良贷款追偿</w:t>
      </w:r>
    </w:p>
    <w:p w14:paraId="399D424E">
      <w:pPr>
        <w:spacing w:before="195" w:line="283" w:lineRule="auto"/>
        <w:ind w:right="122" w:firstLine="64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2"/>
          <w:sz w:val="29"/>
          <w:szCs w:val="29"/>
        </w:rPr>
        <w:t>1.贷款发生不良风险时，合作银行与融资担保机构按本方案</w:t>
      </w:r>
      <w:r>
        <w:rPr>
          <w:rFonts w:ascii="仿宋" w:hAnsi="仿宋" w:eastAsia="仿宋" w:cs="仿宋"/>
          <w:spacing w:val="17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2"/>
          <w:sz w:val="29"/>
          <w:szCs w:val="29"/>
        </w:rPr>
        <w:t>规定及协议约定等，承担相应责任损失。</w:t>
      </w:r>
    </w:p>
    <w:p w14:paraId="15C4E61F">
      <w:pPr>
        <w:pStyle w:val="2"/>
        <w:spacing w:before="189" w:line="314" w:lineRule="auto"/>
        <w:ind w:firstLine="609"/>
        <w:rPr>
          <w:rFonts w:ascii="仿宋" w:hAnsi="仿宋" w:eastAsia="仿宋" w:cs="仿宋"/>
          <w:sz w:val="29"/>
          <w:szCs w:val="29"/>
        </w:rPr>
      </w:pPr>
      <w:r>
        <w:rPr>
          <w:spacing w:val="14"/>
          <w:sz w:val="29"/>
          <w:szCs w:val="29"/>
        </w:rPr>
        <w:t>2.</w:t>
      </w:r>
      <w:r>
        <w:rPr>
          <w:spacing w:val="-2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融资担保机构应与合作银行配合做好逾期贷款追偿工作。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</w:rPr>
        <w:t>对于追偿所得资金，优先用于扣除各方实际支付的相关诉讼费用；</w:t>
      </w:r>
      <w:r>
        <w:rPr>
          <w:rFonts w:ascii="仿宋" w:hAnsi="仿宋" w:eastAsia="仿宋" w:cs="仿宋"/>
          <w:spacing w:val="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2"/>
          <w:sz w:val="29"/>
          <w:szCs w:val="29"/>
        </w:rPr>
        <w:t>其次按照实际代偿比例，由融资担保机构与合作银行进行分</w:t>
      </w:r>
      <w:r>
        <w:rPr>
          <w:rFonts w:ascii="仿宋" w:hAnsi="仿宋" w:eastAsia="仿宋" w:cs="仿宋"/>
          <w:spacing w:val="11"/>
          <w:sz w:val="29"/>
          <w:szCs w:val="29"/>
        </w:rPr>
        <w:t>配；</w:t>
      </w:r>
      <w:r>
        <w:rPr>
          <w:rFonts w:ascii="仿宋" w:hAnsi="仿宋" w:eastAsia="仿宋" w:cs="仿宋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13"/>
          <w:sz w:val="29"/>
          <w:szCs w:val="29"/>
        </w:rPr>
        <w:t>分配后有剩余的，用于合作银行弥补其贷款利息损失。相关诉讼</w:t>
      </w:r>
      <w:r>
        <w:rPr>
          <w:rFonts w:ascii="仿宋" w:hAnsi="仿宋" w:eastAsia="仿宋" w:cs="仿宋"/>
          <w:spacing w:val="1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10"/>
          <w:sz w:val="29"/>
          <w:szCs w:val="29"/>
        </w:rPr>
        <w:t>费用包括受理费、申请费和律师费等。</w:t>
      </w:r>
    </w:p>
    <w:p w14:paraId="2A22F474">
      <w:pPr>
        <w:spacing w:before="184" w:line="222" w:lineRule="auto"/>
        <w:ind w:left="614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7"/>
          <w:sz w:val="29"/>
          <w:szCs w:val="29"/>
        </w:rPr>
        <w:t>四、风险管控</w:t>
      </w:r>
    </w:p>
    <w:p w14:paraId="78F54B86">
      <w:pPr>
        <w:spacing w:before="193" w:line="347" w:lineRule="auto"/>
        <w:ind w:right="117" w:firstLine="60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sz w:val="29"/>
          <w:szCs w:val="29"/>
        </w:rPr>
        <w:t>“宁科贷”支持信用贷款等弱抵押、弱担保贷款(</w:t>
      </w:r>
      <w:r>
        <w:rPr>
          <w:rFonts w:ascii="仿宋" w:hAnsi="仿宋" w:eastAsia="仿宋" w:cs="仿宋"/>
          <w:spacing w:val="8"/>
          <w:sz w:val="29"/>
          <w:szCs w:val="29"/>
        </w:rPr>
        <w:t>无抵质押),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8"/>
          <w:sz w:val="29"/>
          <w:szCs w:val="29"/>
        </w:rPr>
        <w:t>贷款须用于借款企业生产经营(包括用于归还南京市民营企业转</w:t>
      </w:r>
    </w:p>
    <w:p w14:paraId="797F050A">
      <w:pPr>
        <w:spacing w:line="347" w:lineRule="auto"/>
        <w:rPr>
          <w:rFonts w:ascii="仿宋" w:hAnsi="仿宋" w:eastAsia="仿宋" w:cs="仿宋"/>
          <w:sz w:val="29"/>
          <w:szCs w:val="29"/>
        </w:rPr>
        <w:sectPr>
          <w:footerReference r:id="rId11" w:type="default"/>
          <w:pgSz w:w="11900" w:h="16830"/>
          <w:pgMar w:top="400" w:right="1484" w:bottom="1249" w:left="1760" w:header="0" w:footer="872" w:gutter="0"/>
          <w:cols w:space="720" w:num="1"/>
        </w:sectPr>
      </w:pPr>
    </w:p>
    <w:p w14:paraId="283C7B36">
      <w:pPr>
        <w:spacing w:line="249" w:lineRule="auto"/>
        <w:rPr>
          <w:rFonts w:ascii="Arial"/>
          <w:sz w:val="21"/>
        </w:rPr>
      </w:pPr>
    </w:p>
    <w:p w14:paraId="30ECC29B">
      <w:pPr>
        <w:spacing w:line="249" w:lineRule="auto"/>
        <w:rPr>
          <w:rFonts w:ascii="Arial"/>
          <w:sz w:val="21"/>
        </w:rPr>
      </w:pPr>
    </w:p>
    <w:p w14:paraId="211286B1">
      <w:pPr>
        <w:spacing w:line="250" w:lineRule="auto"/>
        <w:rPr>
          <w:rFonts w:ascii="Arial"/>
          <w:sz w:val="21"/>
        </w:rPr>
      </w:pPr>
    </w:p>
    <w:p w14:paraId="2BA4E7B7">
      <w:pPr>
        <w:spacing w:line="250" w:lineRule="auto"/>
        <w:rPr>
          <w:rFonts w:ascii="Arial"/>
          <w:sz w:val="21"/>
        </w:rPr>
      </w:pPr>
    </w:p>
    <w:p w14:paraId="3E4507CA">
      <w:pPr>
        <w:spacing w:line="250" w:lineRule="auto"/>
        <w:rPr>
          <w:rFonts w:ascii="Arial"/>
          <w:sz w:val="21"/>
        </w:rPr>
      </w:pPr>
    </w:p>
    <w:p w14:paraId="3F3FBF2B">
      <w:pPr>
        <w:spacing w:line="250" w:lineRule="auto"/>
        <w:rPr>
          <w:rFonts w:ascii="Arial"/>
          <w:sz w:val="21"/>
        </w:rPr>
      </w:pPr>
    </w:p>
    <w:p w14:paraId="357B3562">
      <w:pPr>
        <w:spacing w:line="250" w:lineRule="auto"/>
        <w:rPr>
          <w:rFonts w:ascii="Arial"/>
          <w:sz w:val="21"/>
        </w:rPr>
      </w:pPr>
    </w:p>
    <w:p w14:paraId="112F11B1">
      <w:pPr>
        <w:spacing w:line="250" w:lineRule="auto"/>
        <w:rPr>
          <w:rFonts w:ascii="Arial"/>
          <w:sz w:val="21"/>
        </w:rPr>
      </w:pPr>
    </w:p>
    <w:p w14:paraId="4677E2BC">
      <w:pPr>
        <w:spacing w:line="250" w:lineRule="auto"/>
        <w:rPr>
          <w:rFonts w:ascii="Arial"/>
          <w:sz w:val="21"/>
        </w:rPr>
      </w:pPr>
    </w:p>
    <w:p w14:paraId="5EDB3172">
      <w:pPr>
        <w:spacing w:before="98" w:line="332" w:lineRule="auto"/>
        <w:ind w:right="12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6"/>
          <w:sz w:val="30"/>
          <w:szCs w:val="30"/>
        </w:rPr>
        <w:t>贷基金),不得用于归还企业其他债务，不得用于金融投资、理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财等套利活动，不得用于国家产业政策禁止和限制的</w:t>
      </w:r>
      <w:r>
        <w:rPr>
          <w:rFonts w:ascii="仿宋" w:hAnsi="仿宋" w:eastAsia="仿宋" w:cs="仿宋"/>
          <w:spacing w:val="5"/>
          <w:sz w:val="30"/>
          <w:szCs w:val="30"/>
        </w:rPr>
        <w:t>项目。对于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不符合“宁科贷”要求的贷款，由相关银行自行承担不</w:t>
      </w:r>
      <w:r>
        <w:rPr>
          <w:rFonts w:ascii="仿宋" w:hAnsi="仿宋" w:eastAsia="仿宋" w:cs="仿宋"/>
          <w:spacing w:val="5"/>
          <w:sz w:val="30"/>
          <w:szCs w:val="30"/>
        </w:rPr>
        <w:t>良贷款损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失。企业、银行使用虚假材料或者其他不正当手段</w:t>
      </w:r>
      <w:r>
        <w:rPr>
          <w:rFonts w:ascii="仿宋" w:hAnsi="仿宋" w:eastAsia="仿宋" w:cs="仿宋"/>
          <w:spacing w:val="5"/>
          <w:sz w:val="30"/>
          <w:szCs w:val="30"/>
        </w:rPr>
        <w:t>骗取、套取专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项资金的，一经查实，严格按照相关法律法规</w:t>
      </w:r>
      <w:r>
        <w:rPr>
          <w:rFonts w:ascii="仿宋" w:hAnsi="仿宋" w:eastAsia="仿宋" w:cs="仿宋"/>
          <w:spacing w:val="3"/>
          <w:sz w:val="30"/>
          <w:szCs w:val="30"/>
        </w:rPr>
        <w:t>处理。</w:t>
      </w:r>
    </w:p>
    <w:p w14:paraId="55290296">
      <w:pPr>
        <w:spacing w:before="1" w:line="327" w:lineRule="auto"/>
        <w:ind w:firstLine="65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sz w:val="30"/>
          <w:szCs w:val="30"/>
        </w:rPr>
        <w:t>对于企业库内的小微企业单户贷款额度1000 万</w:t>
      </w:r>
      <w:r>
        <w:rPr>
          <w:rFonts w:ascii="仿宋" w:hAnsi="仿宋" w:eastAsia="仿宋" w:cs="仿宋"/>
          <w:spacing w:val="-4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元 (</w:t>
      </w:r>
      <w:r>
        <w:rPr>
          <w:rFonts w:ascii="仿宋" w:hAnsi="仿宋" w:eastAsia="仿宋" w:cs="仿宋"/>
          <w:spacing w:val="-5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含</w:t>
      </w:r>
      <w:r>
        <w:rPr>
          <w:rFonts w:ascii="仿宋" w:hAnsi="仿宋" w:eastAsia="仿宋" w:cs="仿宋"/>
          <w:spacing w:val="-6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)</w:t>
      </w:r>
      <w:r>
        <w:rPr>
          <w:rFonts w:ascii="仿宋" w:hAnsi="仿宋" w:eastAsia="仿宋" w:cs="仿宋"/>
          <w:spacing w:val="-2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以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sz w:val="30"/>
          <w:szCs w:val="30"/>
        </w:rPr>
        <w:t>内部分，代偿率上限为3%。对于企业库内的非小微企业贷款以</w:t>
      </w:r>
      <w:r>
        <w:rPr>
          <w:rFonts w:ascii="仿宋" w:hAnsi="仿宋" w:eastAsia="仿宋" w:cs="仿宋"/>
          <w:spacing w:val="7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9"/>
          <w:sz w:val="30"/>
          <w:szCs w:val="30"/>
        </w:rPr>
        <w:t>及小微企业单户贷款额度超过1000万元部分，代偿率上限为2%。</w:t>
      </w:r>
      <w:r>
        <w:rPr>
          <w:rFonts w:ascii="仿宋" w:hAnsi="仿宋" w:eastAsia="仿宋" w:cs="仿宋"/>
          <w:spacing w:val="1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代偿率的计算方式等，由合作融资担保机构、银行双</w:t>
      </w:r>
      <w:r>
        <w:rPr>
          <w:rFonts w:ascii="仿宋" w:hAnsi="仿宋" w:eastAsia="仿宋" w:cs="仿宋"/>
          <w:spacing w:val="5"/>
          <w:sz w:val="30"/>
          <w:szCs w:val="30"/>
        </w:rPr>
        <w:t>方通过签订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协议予以明确。合作金融机构除贷款利息和担保费</w:t>
      </w:r>
      <w:r>
        <w:rPr>
          <w:rFonts w:ascii="仿宋" w:hAnsi="仿宋" w:eastAsia="仿宋" w:cs="仿宋"/>
          <w:spacing w:val="5"/>
          <w:sz w:val="30"/>
          <w:szCs w:val="30"/>
        </w:rPr>
        <w:t>外，不得以保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证金、承诺费、咨询费、顾问费、注册费、资料费等名义</w:t>
      </w:r>
      <w:r>
        <w:rPr>
          <w:rFonts w:ascii="仿宋" w:hAnsi="仿宋" w:eastAsia="仿宋" w:cs="仿宋"/>
          <w:spacing w:val="5"/>
          <w:sz w:val="30"/>
          <w:szCs w:val="30"/>
        </w:rPr>
        <w:t>收取不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sz w:val="30"/>
          <w:szCs w:val="30"/>
        </w:rPr>
        <w:t>合理费用。</w:t>
      </w:r>
    </w:p>
    <w:p w14:paraId="11508A1C">
      <w:pPr>
        <w:spacing w:before="57" w:line="221" w:lineRule="auto"/>
        <w:ind w:left="634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z w:val="30"/>
          <w:szCs w:val="30"/>
        </w:rPr>
        <w:t>五、职责分工</w:t>
      </w:r>
    </w:p>
    <w:p w14:paraId="348C575C">
      <w:pPr>
        <w:spacing w:before="180" w:line="326" w:lineRule="auto"/>
        <w:ind w:right="101" w:firstLine="72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楷体" w:hAnsi="楷体" w:eastAsia="楷体" w:cs="楷体"/>
          <w:spacing w:val="12"/>
          <w:sz w:val="30"/>
          <w:szCs w:val="30"/>
        </w:rPr>
        <w:t>(一)市科技局职责</w:t>
      </w:r>
      <w:r>
        <w:rPr>
          <w:rFonts w:ascii="仿宋" w:hAnsi="仿宋" w:eastAsia="仿宋" w:cs="仿宋"/>
          <w:spacing w:val="12"/>
          <w:sz w:val="30"/>
          <w:szCs w:val="30"/>
        </w:rPr>
        <w:t>。建立并更新“宁科贷”企业库</w:t>
      </w:r>
      <w:r>
        <w:rPr>
          <w:rFonts w:ascii="仿宋" w:hAnsi="仿宋" w:eastAsia="仿宋" w:cs="仿宋"/>
          <w:spacing w:val="11"/>
          <w:sz w:val="30"/>
          <w:szCs w:val="30"/>
        </w:rPr>
        <w:t>，牵头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7"/>
          <w:sz w:val="30"/>
          <w:szCs w:val="30"/>
        </w:rPr>
        <w:t>“宁科贷”担保费补贴、风险补偿、首贷补</w:t>
      </w:r>
      <w:r>
        <w:rPr>
          <w:rFonts w:ascii="仿宋" w:hAnsi="仿宋" w:eastAsia="仿宋" w:cs="仿宋"/>
          <w:spacing w:val="6"/>
          <w:sz w:val="30"/>
          <w:szCs w:val="30"/>
        </w:rPr>
        <w:t>贴的申报受理和初审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工作，报“宁科贷”联席会议审议。接收“宁科贷”合作协议备</w:t>
      </w:r>
      <w:r>
        <w:rPr>
          <w:rFonts w:ascii="仿宋" w:hAnsi="仿宋" w:eastAsia="仿宋" w:cs="仿宋"/>
          <w:spacing w:val="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案，牵头“宁科贷”资金需求测算和绩效管理</w:t>
      </w:r>
      <w:r>
        <w:rPr>
          <w:rFonts w:ascii="仿宋" w:hAnsi="仿宋" w:eastAsia="仿宋" w:cs="仿宋"/>
          <w:spacing w:val="3"/>
          <w:sz w:val="30"/>
          <w:szCs w:val="30"/>
        </w:rPr>
        <w:t>工作。</w:t>
      </w:r>
    </w:p>
    <w:p w14:paraId="571CF0FE">
      <w:pPr>
        <w:spacing w:before="14" w:line="295" w:lineRule="auto"/>
        <w:ind w:right="19" w:firstLine="729"/>
        <w:rPr>
          <w:rFonts w:ascii="仿宋" w:hAnsi="仿宋" w:eastAsia="仿宋" w:cs="仿宋"/>
          <w:sz w:val="30"/>
          <w:szCs w:val="30"/>
        </w:rPr>
      </w:pPr>
      <w:r>
        <w:rPr>
          <w:rFonts w:ascii="楷体" w:hAnsi="楷体" w:eastAsia="楷体" w:cs="楷体"/>
          <w:spacing w:val="12"/>
          <w:sz w:val="30"/>
          <w:szCs w:val="30"/>
        </w:rPr>
        <w:t>(二)市财政局职责</w:t>
      </w:r>
      <w:r>
        <w:rPr>
          <w:rFonts w:ascii="仿宋" w:hAnsi="仿宋" w:eastAsia="仿宋" w:cs="仿宋"/>
          <w:spacing w:val="12"/>
          <w:sz w:val="30"/>
          <w:szCs w:val="30"/>
        </w:rPr>
        <w:t>。负责“宁科贷”政策的预算编制、监</w:t>
      </w:r>
      <w:r>
        <w:rPr>
          <w:rFonts w:ascii="仿宋" w:hAnsi="仿宋" w:eastAsia="仿宋" w:cs="仿宋"/>
          <w:spacing w:val="1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"/>
          <w:sz w:val="30"/>
          <w:szCs w:val="30"/>
        </w:rPr>
        <w:t>督检查工作，接收“宁科贷”合作协议备案，拨付兑现“宁科</w:t>
      </w:r>
      <w:r>
        <w:rPr>
          <w:rFonts w:ascii="仿宋" w:hAnsi="仿宋" w:eastAsia="仿宋" w:cs="仿宋"/>
          <w:spacing w:val="-2"/>
          <w:sz w:val="30"/>
          <w:szCs w:val="30"/>
        </w:rPr>
        <w:t>贷”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3"/>
          <w:sz w:val="30"/>
          <w:szCs w:val="30"/>
        </w:rPr>
        <w:t>担保费补贴、风险补偿、首贷补贴资金。</w:t>
      </w:r>
    </w:p>
    <w:p w14:paraId="2953E14D">
      <w:pPr>
        <w:spacing w:before="166" w:line="297" w:lineRule="auto"/>
        <w:ind w:right="126" w:firstLine="729"/>
        <w:rPr>
          <w:rFonts w:ascii="仿宋" w:hAnsi="仿宋" w:eastAsia="仿宋" w:cs="仿宋"/>
          <w:sz w:val="30"/>
          <w:szCs w:val="30"/>
        </w:rPr>
      </w:pPr>
      <w:r>
        <w:rPr>
          <w:rFonts w:ascii="楷体" w:hAnsi="楷体" w:eastAsia="楷体" w:cs="楷体"/>
          <w:spacing w:val="12"/>
          <w:sz w:val="30"/>
          <w:szCs w:val="30"/>
        </w:rPr>
        <w:t>(三)合作融资担保机构职责</w:t>
      </w:r>
      <w:r>
        <w:rPr>
          <w:rFonts w:ascii="仿宋" w:hAnsi="仿宋" w:eastAsia="仿宋" w:cs="仿宋"/>
          <w:spacing w:val="12"/>
          <w:sz w:val="30"/>
          <w:szCs w:val="30"/>
        </w:rPr>
        <w:t>。按合作协议积极开展</w:t>
      </w:r>
      <w:r>
        <w:rPr>
          <w:rFonts w:ascii="仿宋" w:hAnsi="仿宋" w:eastAsia="仿宋" w:cs="仿宋"/>
          <w:spacing w:val="11"/>
          <w:sz w:val="30"/>
          <w:szCs w:val="30"/>
        </w:rPr>
        <w:t>担保工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作，与银行紧密合作，做好尽调审核、融资支持、</w:t>
      </w:r>
      <w:r>
        <w:rPr>
          <w:rFonts w:ascii="仿宋" w:hAnsi="仿宋" w:eastAsia="仿宋" w:cs="仿宋"/>
          <w:spacing w:val="5"/>
          <w:sz w:val="30"/>
          <w:szCs w:val="30"/>
        </w:rPr>
        <w:t>风险分担。按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照规定开展“宁科贷”不良贷款代偿。向市科技局、市财政局报</w:t>
      </w:r>
    </w:p>
    <w:p w14:paraId="04D5611E">
      <w:pPr>
        <w:spacing w:line="297" w:lineRule="auto"/>
        <w:rPr>
          <w:rFonts w:ascii="仿宋" w:hAnsi="仿宋" w:eastAsia="仿宋" w:cs="仿宋"/>
          <w:sz w:val="30"/>
          <w:szCs w:val="30"/>
        </w:rPr>
        <w:sectPr>
          <w:footerReference r:id="rId12" w:type="default"/>
          <w:pgSz w:w="11900" w:h="16830"/>
          <w:pgMar w:top="400" w:right="1449" w:bottom="1207" w:left="1760" w:header="0" w:footer="818" w:gutter="0"/>
          <w:cols w:space="720" w:num="1"/>
        </w:sectPr>
      </w:pPr>
    </w:p>
    <w:p w14:paraId="2F58DBD3">
      <w:pPr>
        <w:spacing w:line="246" w:lineRule="auto"/>
        <w:rPr>
          <w:rFonts w:ascii="Arial"/>
          <w:sz w:val="21"/>
        </w:rPr>
      </w:pPr>
    </w:p>
    <w:p w14:paraId="24BF6E12">
      <w:pPr>
        <w:spacing w:line="246" w:lineRule="auto"/>
        <w:rPr>
          <w:rFonts w:ascii="Arial"/>
          <w:sz w:val="21"/>
        </w:rPr>
      </w:pPr>
    </w:p>
    <w:p w14:paraId="34E66D2D">
      <w:pPr>
        <w:spacing w:line="246" w:lineRule="auto"/>
        <w:rPr>
          <w:rFonts w:ascii="Arial"/>
          <w:sz w:val="21"/>
        </w:rPr>
      </w:pPr>
    </w:p>
    <w:p w14:paraId="463FDE77">
      <w:pPr>
        <w:spacing w:line="246" w:lineRule="auto"/>
        <w:rPr>
          <w:rFonts w:ascii="Arial"/>
          <w:sz w:val="21"/>
        </w:rPr>
      </w:pPr>
    </w:p>
    <w:p w14:paraId="0855B9E9">
      <w:pPr>
        <w:spacing w:line="246" w:lineRule="auto"/>
        <w:rPr>
          <w:rFonts w:ascii="Arial"/>
          <w:sz w:val="21"/>
        </w:rPr>
      </w:pPr>
    </w:p>
    <w:p w14:paraId="383CF415">
      <w:pPr>
        <w:spacing w:line="247" w:lineRule="auto"/>
        <w:rPr>
          <w:rFonts w:ascii="Arial"/>
          <w:sz w:val="21"/>
        </w:rPr>
      </w:pPr>
    </w:p>
    <w:p w14:paraId="220EBCBF">
      <w:pPr>
        <w:spacing w:line="247" w:lineRule="auto"/>
        <w:rPr>
          <w:rFonts w:ascii="Arial"/>
          <w:sz w:val="21"/>
        </w:rPr>
      </w:pPr>
    </w:p>
    <w:p w14:paraId="17A518D7">
      <w:pPr>
        <w:spacing w:line="247" w:lineRule="auto"/>
        <w:rPr>
          <w:rFonts w:ascii="Arial"/>
          <w:sz w:val="21"/>
        </w:rPr>
      </w:pPr>
    </w:p>
    <w:p w14:paraId="16431AFB">
      <w:pPr>
        <w:spacing w:line="247" w:lineRule="auto"/>
        <w:rPr>
          <w:rFonts w:ascii="Arial"/>
          <w:sz w:val="21"/>
        </w:rPr>
      </w:pPr>
    </w:p>
    <w:p w14:paraId="12123A0E">
      <w:pPr>
        <w:spacing w:before="94" w:line="220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1"/>
          <w:sz w:val="29"/>
          <w:szCs w:val="29"/>
        </w:rPr>
        <w:t>送“宁科贷”合作协议备案。</w:t>
      </w:r>
    </w:p>
    <w:p w14:paraId="5630A572">
      <w:pPr>
        <w:spacing w:before="154" w:line="319" w:lineRule="auto"/>
        <w:ind w:right="141" w:firstLine="709"/>
        <w:rPr>
          <w:rFonts w:ascii="仿宋" w:hAnsi="仿宋" w:eastAsia="仿宋" w:cs="仿宋"/>
          <w:sz w:val="29"/>
          <w:szCs w:val="29"/>
        </w:rPr>
      </w:pPr>
      <w:r>
        <w:rPr>
          <w:rFonts w:ascii="楷体" w:hAnsi="楷体" w:eastAsia="楷体" w:cs="楷体"/>
          <w:spacing w:val="17"/>
          <w:sz w:val="29"/>
          <w:szCs w:val="29"/>
        </w:rPr>
        <w:t>(四)合作银行职责</w:t>
      </w:r>
      <w:r>
        <w:rPr>
          <w:rFonts w:ascii="仿宋" w:hAnsi="仿宋" w:eastAsia="仿宋" w:cs="仿宋"/>
          <w:spacing w:val="17"/>
          <w:sz w:val="29"/>
          <w:szCs w:val="29"/>
        </w:rPr>
        <w:t>。</w:t>
      </w:r>
      <w:r>
        <w:rPr>
          <w:rFonts w:ascii="仿宋" w:hAnsi="仿宋" w:eastAsia="仿宋" w:cs="仿宋"/>
          <w:spacing w:val="-8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7"/>
          <w:sz w:val="29"/>
          <w:szCs w:val="29"/>
        </w:rPr>
        <w:t>与合作融资担保机构签署合作协议，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3"/>
          <w:sz w:val="29"/>
          <w:szCs w:val="29"/>
        </w:rPr>
        <w:t>积极开展“宁科贷”贷款审批、发放等全流程管理。与“南京金</w:t>
      </w:r>
      <w:r>
        <w:rPr>
          <w:rFonts w:ascii="仿宋" w:hAnsi="仿宋" w:eastAsia="仿宋" w:cs="仿宋"/>
          <w:spacing w:val="1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3"/>
          <w:sz w:val="29"/>
          <w:szCs w:val="29"/>
        </w:rPr>
        <w:t>服”平台实现系统对接，及时、准确、完整录入贷款数据，加强</w:t>
      </w:r>
      <w:r>
        <w:rPr>
          <w:rFonts w:ascii="仿宋" w:hAnsi="仿宋" w:eastAsia="仿宋" w:cs="仿宋"/>
          <w:spacing w:val="18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2"/>
          <w:sz w:val="29"/>
          <w:szCs w:val="29"/>
        </w:rPr>
        <w:t>贷后管理。</w:t>
      </w:r>
    </w:p>
    <w:p w14:paraId="1BE3A2EE">
      <w:pPr>
        <w:spacing w:before="144" w:line="313" w:lineRule="auto"/>
        <w:ind w:right="18" w:firstLine="709"/>
        <w:rPr>
          <w:rFonts w:ascii="仿宋" w:hAnsi="仿宋" w:eastAsia="仿宋" w:cs="仿宋"/>
          <w:sz w:val="29"/>
          <w:szCs w:val="29"/>
        </w:rPr>
      </w:pPr>
      <w:r>
        <w:rPr>
          <w:rFonts w:ascii="楷体" w:hAnsi="楷体" w:eastAsia="楷体" w:cs="楷体"/>
          <w:spacing w:val="8"/>
          <w:sz w:val="29"/>
          <w:szCs w:val="29"/>
        </w:rPr>
        <w:t>(五)“南京金服”平台职责</w:t>
      </w:r>
      <w:r>
        <w:rPr>
          <w:rFonts w:ascii="仿宋" w:hAnsi="仿宋" w:eastAsia="仿宋" w:cs="仿宋"/>
          <w:spacing w:val="8"/>
          <w:sz w:val="29"/>
          <w:szCs w:val="29"/>
        </w:rPr>
        <w:t>。负责“宁科贷”企业库、科技</w:t>
      </w:r>
      <w:r>
        <w:rPr>
          <w:rFonts w:ascii="仿宋" w:hAnsi="仿宋" w:eastAsia="仿宋" w:cs="仿宋"/>
          <w:spacing w:val="6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3"/>
          <w:sz w:val="29"/>
          <w:szCs w:val="29"/>
        </w:rPr>
        <w:t>贷款线上系统的建设维护。承担“宁科贷”在线申请、放款、还款、</w:t>
      </w:r>
      <w:r>
        <w:rPr>
          <w:rFonts w:ascii="仿宋" w:hAnsi="仿宋" w:eastAsia="仿宋" w:cs="仿宋"/>
          <w:spacing w:val="1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逾期、代偿等具体受理业务，承担风险补偿、</w:t>
      </w:r>
      <w:r>
        <w:rPr>
          <w:rFonts w:ascii="仿宋" w:hAnsi="仿宋" w:eastAsia="仿宋" w:cs="仿宋"/>
          <w:spacing w:val="13"/>
          <w:sz w:val="29"/>
          <w:szCs w:val="29"/>
        </w:rPr>
        <w:t>首贷补贴的申报受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2"/>
          <w:sz w:val="29"/>
          <w:szCs w:val="29"/>
        </w:rPr>
        <w:t>理和初审工作。配合相关部门做好各项保障工作。</w:t>
      </w:r>
    </w:p>
    <w:p w14:paraId="615036CA">
      <w:pPr>
        <w:spacing w:before="216" w:line="223" w:lineRule="auto"/>
        <w:ind w:left="604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z w:val="29"/>
          <w:szCs w:val="29"/>
        </w:rPr>
        <w:t>六</w:t>
      </w:r>
      <w:r>
        <w:rPr>
          <w:rFonts w:ascii="黑体" w:hAnsi="黑体" w:eastAsia="黑体" w:cs="黑体"/>
          <w:spacing w:val="-69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z w:val="29"/>
          <w:szCs w:val="29"/>
        </w:rPr>
        <w:t>、保障措施</w:t>
      </w:r>
    </w:p>
    <w:p w14:paraId="0011328E">
      <w:pPr>
        <w:spacing w:before="165" w:line="315" w:lineRule="auto"/>
        <w:ind w:right="113" w:firstLine="709"/>
        <w:rPr>
          <w:rFonts w:ascii="仿宋" w:hAnsi="仿宋" w:eastAsia="仿宋" w:cs="仿宋"/>
          <w:sz w:val="29"/>
          <w:szCs w:val="29"/>
        </w:rPr>
      </w:pPr>
      <w:r>
        <w:rPr>
          <w:rFonts w:ascii="楷体" w:hAnsi="楷体" w:eastAsia="楷体" w:cs="楷体"/>
          <w:spacing w:val="17"/>
          <w:sz w:val="29"/>
          <w:szCs w:val="29"/>
        </w:rPr>
        <w:t>(</w:t>
      </w:r>
      <w:r>
        <w:rPr>
          <w:rFonts w:ascii="楷体" w:hAnsi="楷体" w:eastAsia="楷体" w:cs="楷体"/>
          <w:spacing w:val="-68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17"/>
          <w:sz w:val="29"/>
          <w:szCs w:val="29"/>
        </w:rPr>
        <w:t>一)强化部门协同</w:t>
      </w:r>
      <w:r>
        <w:rPr>
          <w:rFonts w:ascii="仿宋" w:hAnsi="仿宋" w:eastAsia="仿宋" w:cs="仿宋"/>
          <w:spacing w:val="17"/>
          <w:sz w:val="29"/>
          <w:szCs w:val="29"/>
        </w:rPr>
        <w:t>。通过“宁创贷”联席会议，科技、财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政、金融监管等市级部门加强沟通协商，协调解决“宁科贷”政</w:t>
      </w:r>
      <w:r>
        <w:rPr>
          <w:rFonts w:ascii="仿宋" w:hAnsi="仿宋" w:eastAsia="仿宋" w:cs="仿宋"/>
          <w:spacing w:val="18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策实施中的具体问题，审议政策修订、资金拨</w:t>
      </w:r>
      <w:r>
        <w:rPr>
          <w:rFonts w:ascii="仿宋" w:hAnsi="仿宋" w:eastAsia="仿宋" w:cs="仿宋"/>
          <w:spacing w:val="13"/>
          <w:sz w:val="29"/>
          <w:szCs w:val="29"/>
        </w:rPr>
        <w:t>付、风险管控等事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"/>
          <w:sz w:val="29"/>
          <w:szCs w:val="29"/>
        </w:rPr>
        <w:t>项。</w:t>
      </w:r>
    </w:p>
    <w:p w14:paraId="5513A136">
      <w:pPr>
        <w:spacing w:before="172" w:line="279" w:lineRule="auto"/>
        <w:ind w:right="20" w:firstLine="709"/>
        <w:rPr>
          <w:rFonts w:ascii="仿宋" w:hAnsi="仿宋" w:eastAsia="仿宋" w:cs="仿宋"/>
          <w:sz w:val="29"/>
          <w:szCs w:val="29"/>
        </w:rPr>
      </w:pPr>
      <w:r>
        <w:rPr>
          <w:rFonts w:ascii="楷体" w:hAnsi="楷体" w:eastAsia="楷体" w:cs="楷体"/>
          <w:spacing w:val="20"/>
          <w:sz w:val="29"/>
          <w:szCs w:val="29"/>
        </w:rPr>
        <w:t>(二)规范过程管控</w:t>
      </w:r>
      <w:r>
        <w:rPr>
          <w:rFonts w:ascii="仿宋" w:hAnsi="仿宋" w:eastAsia="仿宋" w:cs="仿宋"/>
          <w:spacing w:val="20"/>
          <w:sz w:val="29"/>
          <w:szCs w:val="29"/>
        </w:rPr>
        <w:t>。依托“南京金服”平台，对科技贷款</w:t>
      </w:r>
      <w:r>
        <w:rPr>
          <w:rFonts w:ascii="仿宋" w:hAnsi="仿宋" w:eastAsia="仿宋" w:cs="仿宋"/>
          <w:spacing w:val="9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7"/>
          <w:sz w:val="29"/>
          <w:szCs w:val="29"/>
        </w:rPr>
        <w:t>的企业申请、贷款投放、风险补偿等工作实施全线上过程化管理。</w:t>
      </w:r>
    </w:p>
    <w:p w14:paraId="575BCEDC">
      <w:pPr>
        <w:spacing w:before="185" w:line="308" w:lineRule="auto"/>
        <w:ind w:right="20" w:firstLine="709"/>
        <w:rPr>
          <w:rFonts w:ascii="仿宋" w:hAnsi="仿宋" w:eastAsia="仿宋" w:cs="仿宋"/>
          <w:sz w:val="29"/>
          <w:szCs w:val="29"/>
        </w:rPr>
      </w:pPr>
      <w:r>
        <w:rPr>
          <w:rFonts w:ascii="楷体" w:hAnsi="楷体" w:eastAsia="楷体" w:cs="楷体"/>
          <w:spacing w:val="21"/>
          <w:sz w:val="29"/>
          <w:szCs w:val="29"/>
        </w:rPr>
        <w:t>(三)实施绩效管理</w:t>
      </w:r>
      <w:r>
        <w:rPr>
          <w:rFonts w:ascii="仿宋" w:hAnsi="仿宋" w:eastAsia="仿宋" w:cs="仿宋"/>
          <w:spacing w:val="21"/>
          <w:sz w:val="29"/>
          <w:szCs w:val="29"/>
        </w:rPr>
        <w:t>。市科技局会同市财政局，对合作融资</w:t>
      </w:r>
      <w:r>
        <w:rPr>
          <w:rFonts w:ascii="仿宋" w:hAnsi="仿宋" w:eastAsia="仿宋" w:cs="仿宋"/>
          <w:spacing w:val="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</w:rPr>
        <w:t>担保机构及合作银行组织开展年度绩效管理，重点考察贷款规模、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服务效率、风险管控等方面情况。绩效管理结果作为</w:t>
      </w:r>
      <w:r>
        <w:rPr>
          <w:rFonts w:ascii="仿宋" w:hAnsi="仿宋" w:eastAsia="仿宋" w:cs="仿宋"/>
          <w:spacing w:val="13"/>
          <w:sz w:val="29"/>
          <w:szCs w:val="29"/>
        </w:rPr>
        <w:t>下一年度的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2"/>
          <w:sz w:val="29"/>
          <w:szCs w:val="29"/>
        </w:rPr>
        <w:t>合作依据。</w:t>
      </w:r>
    </w:p>
    <w:sectPr>
      <w:footerReference r:id="rId13" w:type="default"/>
      <w:pgSz w:w="11900" w:h="16830"/>
      <w:pgMar w:top="400" w:right="1785" w:bottom="1319" w:left="1470" w:header="0" w:footer="94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5EA4AF">
    <w:pPr>
      <w:pStyle w:val="2"/>
      <w:spacing w:line="234" w:lineRule="auto"/>
      <w:ind w:left="4259"/>
      <w:rPr>
        <w:sz w:val="29"/>
        <w:szCs w:val="29"/>
      </w:rPr>
    </w:pPr>
    <w:r>
      <w:rPr>
        <w:spacing w:val="-3"/>
        <w:sz w:val="29"/>
        <w:szCs w:val="29"/>
      </w:rPr>
      <w:t>—1—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FA156">
    <w:pPr>
      <w:spacing w:line="236" w:lineRule="auto"/>
      <w:ind w:left="5449"/>
      <w:rPr>
        <w:rFonts w:ascii="仿宋" w:hAnsi="仿宋" w:eastAsia="仿宋" w:cs="仿宋"/>
        <w:sz w:val="30"/>
        <w:szCs w:val="30"/>
      </w:rPr>
    </w:pPr>
    <w:r>
      <w:rPr>
        <w:rFonts w:ascii="仿宋" w:hAnsi="仿宋" w:eastAsia="仿宋" w:cs="仿宋"/>
        <w:spacing w:val="-4"/>
        <w:sz w:val="30"/>
        <w:szCs w:val="30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B36FB">
    <w:pPr>
      <w:pStyle w:val="2"/>
      <w:spacing w:line="233" w:lineRule="auto"/>
      <w:ind w:left="3894"/>
      <w:rPr>
        <w:sz w:val="30"/>
        <w:szCs w:val="30"/>
      </w:rPr>
    </w:pPr>
    <w:r>
      <w:rPr>
        <w:spacing w:val="-4"/>
        <w:sz w:val="30"/>
        <w:szCs w:val="30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250508">
    <w:pPr>
      <w:pStyle w:val="2"/>
      <w:spacing w:line="234" w:lineRule="auto"/>
      <w:ind w:left="3830"/>
      <w:rPr>
        <w:sz w:val="29"/>
        <w:szCs w:val="29"/>
      </w:rPr>
    </w:pPr>
    <w:r>
      <w:rPr>
        <w:spacing w:val="-3"/>
        <w:sz w:val="29"/>
        <w:szCs w:val="29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E65BE3">
    <w:pPr>
      <w:pStyle w:val="2"/>
      <w:spacing w:line="233" w:lineRule="auto"/>
      <w:ind w:left="3830"/>
      <w:rPr>
        <w:sz w:val="29"/>
        <w:szCs w:val="29"/>
      </w:rPr>
    </w:pPr>
    <w:r>
      <w:rPr>
        <w:spacing w:val="-3"/>
        <w:sz w:val="29"/>
        <w:szCs w:val="29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F710FC">
    <w:pPr>
      <w:pStyle w:val="2"/>
      <w:spacing w:line="233" w:lineRule="auto"/>
      <w:ind w:left="3850"/>
      <w:rPr>
        <w:sz w:val="30"/>
        <w:szCs w:val="30"/>
      </w:rPr>
    </w:pPr>
    <w:r>
      <w:rPr>
        <w:spacing w:val="-4"/>
        <w:sz w:val="30"/>
        <w:szCs w:val="30"/>
      </w:rPr>
      <w:t>—6—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321273">
    <w:pPr>
      <w:pStyle w:val="2"/>
      <w:spacing w:line="233" w:lineRule="auto"/>
      <w:ind w:left="3840"/>
      <w:rPr>
        <w:sz w:val="29"/>
        <w:szCs w:val="29"/>
      </w:rPr>
    </w:pPr>
    <w:r>
      <w:rPr>
        <w:spacing w:val="-3"/>
        <w:sz w:val="29"/>
        <w:szCs w:val="29"/>
      </w:rPr>
      <w:t>—7—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05A011">
    <w:pPr>
      <w:spacing w:line="103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114300</wp:posOffset>
          </wp:positionH>
          <wp:positionV relativeFrom="page">
            <wp:posOffset>342900</wp:posOffset>
          </wp:positionV>
          <wp:extent cx="5822950" cy="1270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22887" cy="12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21518B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0C12C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71"/>
      <w:szCs w:val="7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3.jpeg"/><Relationship Id="rId15" Type="http://schemas.openxmlformats.org/officeDocument/2006/relationships/image" Target="media/image2.jpeg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642</Words>
  <Characters>663</Characters>
  <TotalTime>2</TotalTime>
  <ScaleCrop>false</ScaleCrop>
  <LinksUpToDate>false</LinksUpToDate>
  <CharactersWithSpaces>704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2025-06-20T10:00:00Z</dcterms:created>
  <dc:creator>admin</dc:creator>
  <cp:lastModifiedBy>花菜妹子洋葱夫人</cp:lastModifiedBy>
  <dcterms:modified xsi:type="dcterms:W3CDTF">2025-06-20T02:08:31Z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2025-06-20T10:00:42Z</vt:filetime>
  </property>
  <property fmtid="{D5CDD505-2E9C-101B-9397-08002B2CF9AE}" pid="4" name="UsrData">
    <vt:lpwstr>6854c0c73ce17b001f2a621fwl</vt:lpwstr>
  </property>
  <property fmtid="{D5CDD505-2E9C-101B-9397-08002B2CF9AE}" pid="5" name="KSOTemplateDocerSaveRecord">
    <vt:lpwstr>eyJoZGlkIjoiODE3NjAxNTRiZTMxYjBlNGRiN2M2N2M5MGRiNTM2MTYiLCJ1c2VySWQiOiIyODY1NzI2MzQifQ==</vt:lpwstr>
  </property>
  <property fmtid="{D5CDD505-2E9C-101B-9397-08002B2CF9AE}" pid="6" name="KSOProductBuildVer">
    <vt:lpwstr>2052-12.1.0.21541</vt:lpwstr>
  </property>
  <property fmtid="{D5CDD505-2E9C-101B-9397-08002B2CF9AE}" pid="7" name="ICV">
    <vt:lpwstr>8D870C3F93A84D31BFF19E74A82B920C_12</vt:lpwstr>
  </property>
</Properties>
</file>